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332" w:rsidRDefault="00C72332" w:rsidP="00AD1EE1">
      <w:pPr>
        <w:pStyle w:val="subtit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b/>
          <w:bCs/>
          <w:color w:val="1F497D" w:themeColor="text2"/>
          <w:sz w:val="28"/>
          <w:szCs w:val="28"/>
          <w:u w:val="single"/>
        </w:rPr>
      </w:pPr>
      <w:bookmarkStart w:id="0" w:name="_GoBack"/>
      <w:bookmarkEnd w:id="0"/>
      <w:r w:rsidRPr="00E91B21">
        <w:rPr>
          <w:rFonts w:ascii="Bookman Old Style" w:hAnsi="Bookman Old Style"/>
          <w:b/>
          <w:bCs/>
          <w:color w:val="1F497D" w:themeColor="text2"/>
          <w:sz w:val="28"/>
          <w:szCs w:val="28"/>
          <w:u w:val="single"/>
        </w:rPr>
        <w:t xml:space="preserve">CENTRO DE ESTUDOS </w:t>
      </w:r>
      <w:r>
        <w:rPr>
          <w:rFonts w:ascii="Bookman Old Style" w:hAnsi="Bookman Old Style"/>
          <w:b/>
          <w:bCs/>
          <w:color w:val="1F497D" w:themeColor="text2"/>
          <w:sz w:val="28"/>
          <w:szCs w:val="28"/>
          <w:u w:val="single"/>
        </w:rPr>
        <w:t xml:space="preserve">26.11.2019 </w:t>
      </w:r>
      <w:r w:rsidRPr="00E91B21">
        <w:rPr>
          <w:rFonts w:ascii="Bookman Old Style" w:hAnsi="Bookman Old Style"/>
          <w:b/>
          <w:bCs/>
          <w:color w:val="1F497D" w:themeColor="text2"/>
          <w:sz w:val="28"/>
          <w:szCs w:val="28"/>
          <w:u w:val="single"/>
        </w:rPr>
        <w:t>– ASSUNTOS</w:t>
      </w:r>
    </w:p>
    <w:p w:rsidR="00C72332" w:rsidRDefault="00C72332" w:rsidP="00AD1EE1">
      <w:pPr>
        <w:pStyle w:val="subtit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b/>
          <w:bCs/>
          <w:color w:val="1F497D" w:themeColor="text2"/>
          <w:sz w:val="28"/>
          <w:szCs w:val="28"/>
          <w:u w:val="single"/>
        </w:rPr>
      </w:pPr>
    </w:p>
    <w:p w:rsidR="00C72332" w:rsidRDefault="00C72332" w:rsidP="00AD1EE1">
      <w:pPr>
        <w:pStyle w:val="subtit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b/>
          <w:bCs/>
          <w:color w:val="1F497D" w:themeColor="text2"/>
          <w:sz w:val="28"/>
          <w:szCs w:val="28"/>
          <w:u w:val="single"/>
        </w:rPr>
      </w:pPr>
      <w:r>
        <w:rPr>
          <w:rFonts w:ascii="Bookman Old Style" w:hAnsi="Bookman Old Style"/>
          <w:b/>
          <w:bCs/>
          <w:color w:val="1F497D" w:themeColor="text2"/>
          <w:sz w:val="28"/>
          <w:szCs w:val="28"/>
          <w:u w:val="single"/>
        </w:rPr>
        <w:t>DESTAQUES PARA INFORMAÇÃO E LEITURA</w:t>
      </w:r>
    </w:p>
    <w:p w:rsidR="00C72332" w:rsidRDefault="00C72332" w:rsidP="00C72332">
      <w:pPr>
        <w:shd w:val="clear" w:color="auto" w:fill="FFFFFF"/>
        <w:spacing w:after="225" w:line="240" w:lineRule="auto"/>
        <w:textAlignment w:val="baseline"/>
        <w:rPr>
          <w:rFonts w:ascii="Lucida Sans" w:hAnsi="Lucida Sans" w:cs="Helvetica"/>
          <w:b/>
          <w:color w:val="C00000"/>
          <w:sz w:val="24"/>
          <w:szCs w:val="24"/>
          <w:u w:val="single"/>
          <w:shd w:val="clear" w:color="auto" w:fill="FFFFFF"/>
        </w:rPr>
      </w:pPr>
    </w:p>
    <w:p w:rsidR="00660A9E" w:rsidRPr="00660A9E" w:rsidRDefault="00660A9E" w:rsidP="00660A9E">
      <w:pPr>
        <w:shd w:val="clear" w:color="auto" w:fill="FFFFFF"/>
        <w:spacing w:after="225" w:line="240" w:lineRule="auto"/>
        <w:jc w:val="center"/>
        <w:textAlignment w:val="baseline"/>
        <w:rPr>
          <w:rFonts w:ascii="Lucida Sans" w:eastAsia="Times New Roman" w:hAnsi="Lucida Sans" w:cs="Arial"/>
          <w:b/>
          <w:color w:val="C00000"/>
          <w:sz w:val="24"/>
          <w:szCs w:val="24"/>
          <w:u w:val="single"/>
          <w:lang w:eastAsia="pt-BR"/>
        </w:rPr>
      </w:pPr>
      <w:r>
        <w:rPr>
          <w:rFonts w:ascii="Lucida Sans" w:hAnsi="Lucida Sans" w:cs="Helvetica"/>
          <w:b/>
          <w:color w:val="C00000"/>
          <w:sz w:val="24"/>
          <w:szCs w:val="24"/>
          <w:u w:val="single"/>
          <w:shd w:val="clear" w:color="auto" w:fill="FFFFFF"/>
        </w:rPr>
        <w:t>SP/</w:t>
      </w:r>
      <w:r w:rsidRPr="00660A9E">
        <w:rPr>
          <w:rFonts w:ascii="Lucida Sans" w:hAnsi="Lucida Sans" w:cs="Helvetica"/>
          <w:b/>
          <w:color w:val="C00000"/>
          <w:sz w:val="24"/>
          <w:szCs w:val="24"/>
          <w:u w:val="single"/>
          <w:shd w:val="clear" w:color="auto" w:fill="FFFFFF"/>
        </w:rPr>
        <w:t>DENÚNCIA ESPONTÂNEA AFASTA MULTAS POR CANCELAMENTO DE NF-E</w:t>
      </w:r>
    </w:p>
    <w:p w:rsidR="00660A9E" w:rsidRPr="00660A9E" w:rsidRDefault="00660A9E" w:rsidP="00660A9E">
      <w:pPr>
        <w:shd w:val="clear" w:color="auto" w:fill="FFFFFF"/>
        <w:spacing w:after="225" w:line="240" w:lineRule="auto"/>
        <w:jc w:val="both"/>
        <w:textAlignment w:val="baseline"/>
        <w:rPr>
          <w:rFonts w:ascii="Lucida Sans" w:eastAsia="Times New Roman" w:hAnsi="Lucida Sans" w:cs="Arial"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Arial"/>
          <w:color w:val="595959" w:themeColor="text1" w:themeTint="A6"/>
          <w:lang w:eastAsia="pt-BR"/>
        </w:rPr>
        <w:t>A</w:t>
      </w:r>
      <w:r w:rsidRPr="00660A9E">
        <w:rPr>
          <w:rFonts w:ascii="Lucida Sans" w:eastAsia="Times New Roman" w:hAnsi="Lucida Sans" w:cs="Arial"/>
          <w:b/>
          <w:bCs/>
          <w:color w:val="595959" w:themeColor="text1" w:themeTint="A6"/>
          <w:lang w:eastAsia="pt-BR"/>
        </w:rPr>
        <w:t> Decisão Normativa </w:t>
      </w:r>
      <w:hyperlink r:id="rId7" w:tgtFrame="_blank" w:history="1">
        <w:r w:rsidRPr="00660A9E">
          <w:rPr>
            <w:rFonts w:ascii="Lucida Sans" w:eastAsia="Times New Roman" w:hAnsi="Lucida Sans" w:cs="Arial"/>
            <w:b/>
            <w:bCs/>
            <w:color w:val="595959" w:themeColor="text1" w:themeTint="A6"/>
            <w:lang w:eastAsia="pt-BR"/>
          </w:rPr>
          <w:t>CAT nº 5</w:t>
        </w:r>
        <w:r w:rsidR="00AD1EE1">
          <w:rPr>
            <w:rFonts w:ascii="Lucida Sans" w:eastAsia="Times New Roman" w:hAnsi="Lucida Sans" w:cs="Arial"/>
            <w:b/>
            <w:bCs/>
            <w:color w:val="595959" w:themeColor="text1" w:themeTint="A6"/>
            <w:lang w:eastAsia="pt-BR"/>
          </w:rPr>
          <w:t>, de 06/</w:t>
        </w:r>
        <w:r w:rsidRPr="00660A9E">
          <w:rPr>
            <w:rFonts w:ascii="Lucida Sans" w:eastAsia="Times New Roman" w:hAnsi="Lucida Sans" w:cs="Arial"/>
            <w:b/>
            <w:bCs/>
            <w:color w:val="595959" w:themeColor="text1" w:themeTint="A6"/>
            <w:lang w:eastAsia="pt-BR"/>
          </w:rPr>
          <w:t>11/2019</w:t>
        </w:r>
      </w:hyperlink>
      <w:r>
        <w:rPr>
          <w:rFonts w:ascii="Lucida Sans" w:eastAsia="Times New Roman" w:hAnsi="Lucida Sans" w:cs="Arial"/>
          <w:b/>
          <w:bCs/>
          <w:color w:val="595959" w:themeColor="text1" w:themeTint="A6"/>
          <w:lang w:eastAsia="pt-BR"/>
        </w:rPr>
        <w:t xml:space="preserve">, </w:t>
      </w:r>
      <w:r w:rsidRPr="00660A9E">
        <w:rPr>
          <w:rFonts w:ascii="Lucida Sans" w:eastAsia="Times New Roman" w:hAnsi="Lucida Sans" w:cs="Arial"/>
          <w:color w:val="595959" w:themeColor="text1" w:themeTint="A6"/>
          <w:lang w:eastAsia="pt-BR"/>
        </w:rPr>
        <w:t>determina a possibilidade da denúncia espontânea como forma de afastar as penalidades de cancelamento de NF-e após o prazo regulamentar.</w:t>
      </w:r>
    </w:p>
    <w:p w:rsidR="00660A9E" w:rsidRPr="00660A9E" w:rsidRDefault="00660A9E" w:rsidP="00660A9E">
      <w:pPr>
        <w:shd w:val="clear" w:color="auto" w:fill="FFFFFF"/>
        <w:spacing w:after="225" w:line="240" w:lineRule="auto"/>
        <w:jc w:val="both"/>
        <w:textAlignment w:val="baseline"/>
        <w:rPr>
          <w:rFonts w:ascii="Lucida Sans" w:eastAsia="Times New Roman" w:hAnsi="Lucida Sans" w:cs="Arial"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Arial"/>
          <w:color w:val="595959" w:themeColor="text1" w:themeTint="A6"/>
          <w:lang w:eastAsia="pt-BR"/>
        </w:rPr>
        <w:t>O objetivo da medida é incentivar o contribuinte que infringiu a norma tributária a regularizar sua situação, de forma espontânea, antes do conhecimento da infração pelo fisco.</w:t>
      </w:r>
    </w:p>
    <w:p w:rsidR="00660A9E" w:rsidRDefault="00660A9E" w:rsidP="00660A9E">
      <w:pPr>
        <w:shd w:val="clear" w:color="auto" w:fill="FFFFFF"/>
        <w:spacing w:after="0" w:line="312" w:lineRule="atLeast"/>
        <w:jc w:val="both"/>
        <w:textAlignment w:val="baseline"/>
        <w:outlineLvl w:val="2"/>
        <w:rPr>
          <w:rFonts w:ascii="Lucida Sans" w:eastAsia="Times New Roman" w:hAnsi="Lucida Sans" w:cs="Arial"/>
          <w:b/>
          <w:bCs/>
          <w:color w:val="595959" w:themeColor="text1" w:themeTint="A6"/>
          <w:bdr w:val="none" w:sz="0" w:space="0" w:color="auto" w:frame="1"/>
          <w:lang w:eastAsia="pt-BR"/>
        </w:rPr>
      </w:pPr>
      <w:r w:rsidRPr="00660A9E">
        <w:rPr>
          <w:rFonts w:ascii="Lucida Sans" w:eastAsia="Times New Roman" w:hAnsi="Lucida Sans" w:cs="Arial"/>
          <w:b/>
          <w:bCs/>
          <w:color w:val="595959" w:themeColor="text1" w:themeTint="A6"/>
          <w:bdr w:val="none" w:sz="0" w:space="0" w:color="auto" w:frame="1"/>
          <w:lang w:eastAsia="pt-BR"/>
        </w:rPr>
        <w:t>Cancelamento de NF-e após o prazo</w:t>
      </w:r>
    </w:p>
    <w:p w:rsidR="00343BB2" w:rsidRPr="00660A9E" w:rsidRDefault="00343BB2" w:rsidP="00660A9E">
      <w:pPr>
        <w:shd w:val="clear" w:color="auto" w:fill="FFFFFF"/>
        <w:spacing w:after="0" w:line="312" w:lineRule="atLeast"/>
        <w:jc w:val="both"/>
        <w:textAlignment w:val="baseline"/>
        <w:outlineLvl w:val="2"/>
        <w:rPr>
          <w:rFonts w:ascii="Lucida Sans" w:eastAsia="Times New Roman" w:hAnsi="Lucida Sans" w:cs="Arial"/>
          <w:b/>
          <w:bCs/>
          <w:color w:val="595959" w:themeColor="text1" w:themeTint="A6"/>
          <w:lang w:eastAsia="pt-BR"/>
        </w:rPr>
      </w:pPr>
    </w:p>
    <w:p w:rsidR="00660A9E" w:rsidRPr="00660A9E" w:rsidRDefault="00660A9E" w:rsidP="00660A9E">
      <w:pPr>
        <w:shd w:val="clear" w:color="auto" w:fill="FFFFFF"/>
        <w:spacing w:after="225" w:line="240" w:lineRule="auto"/>
        <w:jc w:val="both"/>
        <w:textAlignment w:val="baseline"/>
        <w:rPr>
          <w:rFonts w:ascii="Lucida Sans" w:eastAsia="Times New Roman" w:hAnsi="Lucida Sans" w:cs="Arial"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Arial"/>
          <w:color w:val="595959" w:themeColor="text1" w:themeTint="A6"/>
          <w:lang w:eastAsia="pt-BR"/>
        </w:rPr>
        <w:t xml:space="preserve">Após o transcurso do prazo regulamentar, os contribuintes podem solicitar o cancelamento via sistema eletrônico da </w:t>
      </w:r>
      <w:r w:rsidR="00343BB2">
        <w:rPr>
          <w:rFonts w:ascii="Lucida Sans" w:eastAsia="Times New Roman" w:hAnsi="Lucida Sans" w:cs="Arial"/>
          <w:color w:val="595959" w:themeColor="text1" w:themeTint="A6"/>
          <w:lang w:eastAsia="pt-BR"/>
        </w:rPr>
        <w:t>SEFAZ</w:t>
      </w:r>
      <w:r w:rsidRPr="00660A9E">
        <w:rPr>
          <w:rFonts w:ascii="Lucida Sans" w:eastAsia="Times New Roman" w:hAnsi="Lucida Sans" w:cs="Arial"/>
          <w:color w:val="595959" w:themeColor="text1" w:themeTint="A6"/>
          <w:lang w:eastAsia="pt-BR"/>
        </w:rPr>
        <w:t xml:space="preserve"> ou junto ao Posto Fiscal de sua jurisdição, dependendo da data em que ocorrer a solicitação e do tipo de documento a ser cancelado.</w:t>
      </w:r>
    </w:p>
    <w:p w:rsidR="00660A9E" w:rsidRPr="00660A9E" w:rsidRDefault="00660A9E" w:rsidP="00660A9E">
      <w:pPr>
        <w:shd w:val="clear" w:color="auto" w:fill="FFFFFF"/>
        <w:spacing w:after="225" w:line="240" w:lineRule="auto"/>
        <w:jc w:val="both"/>
        <w:textAlignment w:val="baseline"/>
        <w:rPr>
          <w:rFonts w:ascii="Lucida Sans" w:eastAsia="Times New Roman" w:hAnsi="Lucida Sans" w:cs="Arial"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Arial"/>
          <w:color w:val="595959" w:themeColor="text1" w:themeTint="A6"/>
          <w:lang w:eastAsia="pt-BR"/>
        </w:rPr>
        <w:t>De acordo com a decisão do Conselho Administrativo do Estado de São Paulo, a denúncia espontânea passa a afastar tanto as penalidades relativas ao descumprimento de obrigação principal</w:t>
      </w:r>
      <w:r w:rsidR="00343BB2">
        <w:rPr>
          <w:rFonts w:ascii="Lucida Sans" w:eastAsia="Times New Roman" w:hAnsi="Lucida Sans" w:cs="Arial"/>
          <w:color w:val="595959" w:themeColor="text1" w:themeTint="A6"/>
          <w:lang w:eastAsia="pt-BR"/>
        </w:rPr>
        <w:t>,</w:t>
      </w:r>
      <w:r w:rsidRPr="00660A9E">
        <w:rPr>
          <w:rFonts w:ascii="Lucida Sans" w:eastAsia="Times New Roman" w:hAnsi="Lucida Sans" w:cs="Arial"/>
          <w:color w:val="595959" w:themeColor="text1" w:themeTint="A6"/>
          <w:lang w:eastAsia="pt-BR"/>
        </w:rPr>
        <w:t xml:space="preserve"> quanto </w:t>
      </w:r>
      <w:r w:rsidR="00343BB2">
        <w:rPr>
          <w:rFonts w:ascii="Lucida Sans" w:eastAsia="Times New Roman" w:hAnsi="Lucida Sans" w:cs="Arial"/>
          <w:color w:val="595959" w:themeColor="text1" w:themeTint="A6"/>
          <w:lang w:eastAsia="pt-BR"/>
        </w:rPr>
        <w:t>às</w:t>
      </w:r>
      <w:r w:rsidRPr="00660A9E">
        <w:rPr>
          <w:rFonts w:ascii="Lucida Sans" w:eastAsia="Times New Roman" w:hAnsi="Lucida Sans" w:cs="Arial"/>
          <w:color w:val="595959" w:themeColor="text1" w:themeTint="A6"/>
          <w:lang w:eastAsia="pt-BR"/>
        </w:rPr>
        <w:t xml:space="preserve"> relativas ao descumprimento de obrigações acessórias, desde que o contribuinte, voluntariamente, procure o fisco para regularizar sua situação, antes do início de qualquer procedimento administrativo de fiscalização.</w:t>
      </w:r>
    </w:p>
    <w:p w:rsidR="00660A9E" w:rsidRPr="00660A9E" w:rsidRDefault="00660A9E" w:rsidP="00660A9E">
      <w:pPr>
        <w:shd w:val="clear" w:color="auto" w:fill="FFFFFF"/>
        <w:spacing w:after="225" w:line="240" w:lineRule="auto"/>
        <w:jc w:val="both"/>
        <w:textAlignment w:val="baseline"/>
        <w:rPr>
          <w:rFonts w:ascii="Lucida Sans" w:eastAsia="Times New Roman" w:hAnsi="Lucida Sans" w:cs="Arial"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Arial"/>
          <w:color w:val="595959" w:themeColor="text1" w:themeTint="A6"/>
          <w:lang w:eastAsia="pt-BR"/>
        </w:rPr>
        <w:t>Tratando-se de infração que implique falta de pagamento do imposto, a responsabilidade é excluída pela denúncia espontânea da infração, acompanhada, se for o caso, do pagamento do tributo devido e dos </w:t>
      </w:r>
      <w:hyperlink r:id="rId8" w:tgtFrame="_blank" w:history="1">
        <w:r w:rsidRPr="00660A9E">
          <w:rPr>
            <w:rFonts w:ascii="Lucida Sans" w:eastAsia="Times New Roman" w:hAnsi="Lucida Sans" w:cs="Arial"/>
            <w:color w:val="595959" w:themeColor="text1" w:themeTint="A6"/>
            <w:lang w:eastAsia="pt-BR"/>
          </w:rPr>
          <w:t>juros</w:t>
        </w:r>
      </w:hyperlink>
      <w:r w:rsidRPr="00660A9E">
        <w:rPr>
          <w:rFonts w:ascii="Lucida Sans" w:eastAsia="Times New Roman" w:hAnsi="Lucida Sans" w:cs="Arial"/>
          <w:color w:val="595959" w:themeColor="text1" w:themeTint="A6"/>
          <w:lang w:eastAsia="pt-BR"/>
        </w:rPr>
        <w:t> de mora, ou do depósito da importância arbitrada pela autoridade administrativa, quando o montante do tributo dependa de apuração.</w:t>
      </w:r>
    </w:p>
    <w:p w:rsidR="00660A9E" w:rsidRDefault="00660A9E" w:rsidP="00660A9E">
      <w:pPr>
        <w:shd w:val="clear" w:color="auto" w:fill="FFFFFF"/>
        <w:spacing w:after="0" w:line="312" w:lineRule="atLeast"/>
        <w:jc w:val="both"/>
        <w:textAlignment w:val="baseline"/>
        <w:outlineLvl w:val="2"/>
        <w:rPr>
          <w:rFonts w:ascii="Lucida Sans" w:eastAsia="Times New Roman" w:hAnsi="Lucida Sans" w:cs="Arial"/>
          <w:b/>
          <w:bCs/>
          <w:color w:val="595959" w:themeColor="text1" w:themeTint="A6"/>
          <w:bdr w:val="none" w:sz="0" w:space="0" w:color="auto" w:frame="1"/>
          <w:lang w:eastAsia="pt-BR"/>
        </w:rPr>
      </w:pPr>
      <w:r w:rsidRPr="00660A9E">
        <w:rPr>
          <w:rFonts w:ascii="Lucida Sans" w:eastAsia="Times New Roman" w:hAnsi="Lucida Sans" w:cs="Arial"/>
          <w:b/>
          <w:bCs/>
          <w:color w:val="595959" w:themeColor="text1" w:themeTint="A6"/>
          <w:bdr w:val="none" w:sz="0" w:space="0" w:color="auto" w:frame="1"/>
          <w:lang w:eastAsia="pt-BR"/>
        </w:rPr>
        <w:t>Penalidades do cancelamento de NF-e</w:t>
      </w:r>
    </w:p>
    <w:p w:rsidR="00343BB2" w:rsidRPr="00660A9E" w:rsidRDefault="00343BB2" w:rsidP="00660A9E">
      <w:pPr>
        <w:shd w:val="clear" w:color="auto" w:fill="FFFFFF"/>
        <w:spacing w:after="0" w:line="312" w:lineRule="atLeast"/>
        <w:jc w:val="both"/>
        <w:textAlignment w:val="baseline"/>
        <w:outlineLvl w:val="2"/>
        <w:rPr>
          <w:rFonts w:ascii="Lucida Sans" w:eastAsia="Times New Roman" w:hAnsi="Lucida Sans" w:cs="Arial"/>
          <w:b/>
          <w:bCs/>
          <w:color w:val="595959" w:themeColor="text1" w:themeTint="A6"/>
          <w:lang w:eastAsia="pt-BR"/>
        </w:rPr>
      </w:pPr>
    </w:p>
    <w:p w:rsidR="00660A9E" w:rsidRPr="00660A9E" w:rsidRDefault="00660A9E" w:rsidP="00660A9E">
      <w:pPr>
        <w:shd w:val="clear" w:color="auto" w:fill="FFFFFF"/>
        <w:spacing w:after="225" w:line="240" w:lineRule="auto"/>
        <w:jc w:val="both"/>
        <w:textAlignment w:val="baseline"/>
        <w:rPr>
          <w:rFonts w:ascii="Lucida Sans" w:eastAsia="Times New Roman" w:hAnsi="Lucida Sans" w:cs="Arial"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Arial"/>
          <w:color w:val="595959" w:themeColor="text1" w:themeTint="A6"/>
          <w:lang w:eastAsia="pt-BR"/>
        </w:rPr>
        <w:t>Anteriormente, as notas fiscais canceladas, após o prazo definido pelo estado de 24 horas, eram sujeitas às multas abaixo:</w:t>
      </w:r>
    </w:p>
    <w:p w:rsidR="00660A9E" w:rsidRPr="00660A9E" w:rsidRDefault="00660A9E" w:rsidP="00660A9E">
      <w:pPr>
        <w:shd w:val="clear" w:color="auto" w:fill="FFFFFF"/>
        <w:spacing w:after="225" w:line="240" w:lineRule="auto"/>
        <w:jc w:val="both"/>
        <w:textAlignment w:val="baseline"/>
        <w:rPr>
          <w:rFonts w:ascii="Lucida Sans" w:eastAsia="Times New Roman" w:hAnsi="Lucida Sans" w:cs="Arial"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Arial"/>
          <w:color w:val="595959" w:themeColor="text1" w:themeTint="A6"/>
          <w:lang w:eastAsia="pt-BR"/>
        </w:rPr>
        <w:t>IV – infrações relativas a documentos fiscais e impressos fiscais:</w:t>
      </w:r>
    </w:p>
    <w:p w:rsidR="00660A9E" w:rsidRPr="00660A9E" w:rsidRDefault="00660A9E" w:rsidP="00660A9E">
      <w:pPr>
        <w:shd w:val="clear" w:color="auto" w:fill="FFFFFF"/>
        <w:spacing w:after="225" w:line="240" w:lineRule="auto"/>
        <w:jc w:val="both"/>
        <w:textAlignment w:val="baseline"/>
        <w:rPr>
          <w:rFonts w:ascii="Lucida Sans" w:eastAsia="Times New Roman" w:hAnsi="Lucida Sans" w:cs="Arial"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Arial"/>
          <w:color w:val="595959" w:themeColor="text1" w:themeTint="A6"/>
          <w:lang w:eastAsia="pt-BR"/>
        </w:rPr>
        <w:lastRenderedPageBreak/>
        <w:t>z1) falta de solicitação de cancelamento de documento fiscal eletrônico, quando exigido pela legislação, ou solicitação de cancelamento desses documentos após transcurso do prazo regulamentar – multa equivalente a 10% (dez por cento) do valor da operação ou prestação constante do documento, nunca inferior a 15 (quinze) UFESPs, por documento ou impresso; no caso de solicitação após transcurso do prazo regulamentar, multa equivalente a 1% (um por cento) do valor da operação ou prestação constante do documento, nunca inferior a 6 (seis) UFESPs, por documento ou impresso.</w:t>
      </w:r>
    </w:p>
    <w:p w:rsidR="00660A9E" w:rsidRDefault="00660A9E" w:rsidP="00660A9E">
      <w:pPr>
        <w:shd w:val="clear" w:color="auto" w:fill="FFFFFF"/>
        <w:spacing w:after="0" w:line="312" w:lineRule="atLeast"/>
        <w:jc w:val="both"/>
        <w:textAlignment w:val="baseline"/>
        <w:outlineLvl w:val="2"/>
        <w:rPr>
          <w:rFonts w:ascii="Lucida Sans" w:eastAsia="Times New Roman" w:hAnsi="Lucida Sans" w:cs="Arial"/>
          <w:b/>
          <w:bCs/>
          <w:color w:val="595959" w:themeColor="text1" w:themeTint="A6"/>
          <w:bdr w:val="none" w:sz="0" w:space="0" w:color="auto" w:frame="1"/>
          <w:lang w:eastAsia="pt-BR"/>
        </w:rPr>
      </w:pPr>
      <w:r w:rsidRPr="00660A9E">
        <w:rPr>
          <w:rFonts w:ascii="Lucida Sans" w:eastAsia="Times New Roman" w:hAnsi="Lucida Sans" w:cs="Arial"/>
          <w:b/>
          <w:bCs/>
          <w:color w:val="595959" w:themeColor="text1" w:themeTint="A6"/>
          <w:bdr w:val="none" w:sz="0" w:space="0" w:color="auto" w:frame="1"/>
          <w:lang w:eastAsia="pt-BR"/>
        </w:rPr>
        <w:t>Restrições</w:t>
      </w:r>
    </w:p>
    <w:p w:rsidR="00343BB2" w:rsidRPr="00660A9E" w:rsidRDefault="00343BB2" w:rsidP="00660A9E">
      <w:pPr>
        <w:shd w:val="clear" w:color="auto" w:fill="FFFFFF"/>
        <w:spacing w:after="0" w:line="312" w:lineRule="atLeast"/>
        <w:jc w:val="both"/>
        <w:textAlignment w:val="baseline"/>
        <w:outlineLvl w:val="2"/>
        <w:rPr>
          <w:rFonts w:ascii="Lucida Sans" w:eastAsia="Times New Roman" w:hAnsi="Lucida Sans" w:cs="Arial"/>
          <w:b/>
          <w:bCs/>
          <w:color w:val="595959" w:themeColor="text1" w:themeTint="A6"/>
          <w:lang w:eastAsia="pt-BR"/>
        </w:rPr>
      </w:pPr>
    </w:p>
    <w:p w:rsidR="00660A9E" w:rsidRDefault="00660A9E" w:rsidP="00660A9E">
      <w:pPr>
        <w:shd w:val="clear" w:color="auto" w:fill="FFFFFF"/>
        <w:spacing w:after="225" w:line="240" w:lineRule="auto"/>
        <w:jc w:val="both"/>
        <w:textAlignment w:val="baseline"/>
        <w:rPr>
          <w:rFonts w:ascii="Lucida Sans" w:eastAsia="Times New Roman" w:hAnsi="Lucida Sans" w:cs="Arial"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Arial"/>
          <w:color w:val="595959" w:themeColor="text1" w:themeTint="A6"/>
          <w:lang w:eastAsia="pt-BR"/>
        </w:rPr>
        <w:t>Contudo, a nova norma deixa claro que não se considera espontânea a denúncia apresentada após o início de qualquer procedimento administrativo ou medida de fiscalização, relacionados com a infração.</w:t>
      </w:r>
    </w:p>
    <w:p w:rsidR="00AD1EE1" w:rsidRPr="00AD1EE1" w:rsidRDefault="00AD1EE1" w:rsidP="00660A9E">
      <w:pPr>
        <w:shd w:val="clear" w:color="auto" w:fill="FFFFFF"/>
        <w:spacing w:after="225" w:line="240" w:lineRule="auto"/>
        <w:jc w:val="both"/>
        <w:textAlignment w:val="baseline"/>
        <w:rPr>
          <w:rFonts w:ascii="Lucida Sans" w:eastAsia="Times New Roman" w:hAnsi="Lucida Sans" w:cs="Arial"/>
          <w:b/>
          <w:color w:val="595959" w:themeColor="text1" w:themeTint="A6"/>
          <w:lang w:eastAsia="pt-BR"/>
        </w:rPr>
      </w:pPr>
      <w:r w:rsidRPr="00AD1EE1">
        <w:rPr>
          <w:rFonts w:ascii="Lucida Sans" w:eastAsia="Times New Roman" w:hAnsi="Lucida Sans" w:cs="Arial"/>
          <w:b/>
          <w:color w:val="595959" w:themeColor="text1" w:themeTint="A6"/>
          <w:lang w:eastAsia="pt-BR"/>
        </w:rPr>
        <w:t>Revogações</w:t>
      </w:r>
    </w:p>
    <w:p w:rsidR="00AD1EE1" w:rsidRPr="00AD1EE1" w:rsidRDefault="00AD1EE1" w:rsidP="00660A9E">
      <w:pPr>
        <w:shd w:val="clear" w:color="auto" w:fill="FFFFFF"/>
        <w:spacing w:after="225" w:line="240" w:lineRule="auto"/>
        <w:jc w:val="both"/>
        <w:textAlignment w:val="baseline"/>
        <w:rPr>
          <w:rFonts w:ascii="Lucida Sans" w:eastAsia="Times New Roman" w:hAnsi="Lucida Sans" w:cs="Arial"/>
          <w:color w:val="595959" w:themeColor="text1" w:themeTint="A6"/>
          <w:lang w:eastAsia="pt-BR"/>
        </w:rPr>
      </w:pPr>
      <w:r w:rsidRPr="00AD1EE1">
        <w:rPr>
          <w:rFonts w:ascii="Lucida Sans" w:hAnsi="Lucida Sans" w:cs="Helvetica"/>
          <w:color w:val="333333"/>
          <w:shd w:val="clear" w:color="auto" w:fill="FFFFFF"/>
        </w:rPr>
        <w:t>Ficam revogadas a Decisão Normativa CAT 02/2015, de 10.09.2015, e as respostas a consultas tributárias que, versando sobre a mesma matéria, concluíram de modo diverso.</w:t>
      </w:r>
    </w:p>
    <w:p w:rsidR="00660A9E" w:rsidRPr="00AD1EE1" w:rsidRDefault="00660A9E" w:rsidP="00AD1E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25" w:line="240" w:lineRule="auto"/>
        <w:jc w:val="both"/>
        <w:textAlignment w:val="baseline"/>
        <w:rPr>
          <w:rFonts w:ascii="Lucida Sans" w:eastAsia="Times New Roman" w:hAnsi="Lucida Sans" w:cs="Arial"/>
          <w:color w:val="595959" w:themeColor="text1" w:themeTint="A6"/>
          <w:sz w:val="28"/>
          <w:szCs w:val="28"/>
          <w:lang w:eastAsia="pt-BR"/>
        </w:rPr>
      </w:pPr>
      <w:r w:rsidRPr="00AD1EE1">
        <w:rPr>
          <w:rFonts w:ascii="Lucida Sans" w:eastAsia="Times New Roman" w:hAnsi="Lucida Sans" w:cs="Arial"/>
          <w:color w:val="595959" w:themeColor="text1" w:themeTint="A6"/>
          <w:sz w:val="28"/>
          <w:szCs w:val="28"/>
          <w:lang w:eastAsia="pt-BR"/>
        </w:rPr>
        <w:t>Por isso, o contribuinte deve procurar a repartição fiscal antes de qualquer procedimento do fisco, para sanar irregularidade relacionada com o cumprimento de obrigação.</w:t>
      </w:r>
    </w:p>
    <w:p w:rsidR="00660A9E" w:rsidRPr="00660A9E" w:rsidRDefault="00660A9E" w:rsidP="00660A9E">
      <w:pPr>
        <w:shd w:val="clear" w:color="auto" w:fill="FFFFFF"/>
        <w:spacing w:after="225" w:line="240" w:lineRule="auto"/>
        <w:jc w:val="both"/>
        <w:textAlignment w:val="baseline"/>
        <w:rPr>
          <w:rFonts w:ascii="Lucida Sans" w:eastAsia="Times New Roman" w:hAnsi="Lucida Sans" w:cs="Arial"/>
          <w:b/>
          <w:color w:val="474747"/>
          <w:sz w:val="16"/>
          <w:szCs w:val="16"/>
          <w:lang w:eastAsia="pt-BR"/>
        </w:rPr>
      </w:pPr>
      <w:r w:rsidRPr="00660A9E">
        <w:rPr>
          <w:rFonts w:ascii="Lucida Sans" w:eastAsia="Times New Roman" w:hAnsi="Lucida Sans" w:cs="Arial"/>
          <w:b/>
          <w:color w:val="474747"/>
          <w:sz w:val="16"/>
          <w:szCs w:val="16"/>
          <w:lang w:eastAsia="pt-BR"/>
        </w:rPr>
        <w:t>Fonte: Portal Contábeis</w:t>
      </w:r>
    </w:p>
    <w:p w:rsidR="00660A9E" w:rsidRDefault="00343BB2" w:rsidP="00343BB2">
      <w:pPr>
        <w:shd w:val="clear" w:color="auto" w:fill="FFFFFF"/>
        <w:spacing w:before="300" w:after="0" w:line="240" w:lineRule="auto"/>
        <w:jc w:val="center"/>
        <w:rPr>
          <w:rFonts w:ascii="Lucida Sans" w:hAnsi="Lucida Sans" w:cs="Helvetica"/>
          <w:b/>
          <w:color w:val="C00000"/>
          <w:sz w:val="24"/>
          <w:szCs w:val="24"/>
          <w:u w:val="single"/>
          <w:shd w:val="clear" w:color="auto" w:fill="FFFFFF"/>
        </w:rPr>
      </w:pPr>
      <w:r w:rsidRPr="00343BB2">
        <w:rPr>
          <w:rFonts w:ascii="Lucida Sans" w:hAnsi="Lucida Sans" w:cs="Helvetica"/>
          <w:b/>
          <w:color w:val="C00000"/>
          <w:sz w:val="24"/>
          <w:szCs w:val="24"/>
          <w:u w:val="single"/>
          <w:shd w:val="clear" w:color="auto" w:fill="FFFFFF"/>
        </w:rPr>
        <w:t xml:space="preserve">Governo Federal institui </w:t>
      </w:r>
      <w:r w:rsidR="00660A9E" w:rsidRPr="00343BB2">
        <w:rPr>
          <w:rFonts w:ascii="Lucida Sans" w:hAnsi="Lucida Sans" w:cs="Helvetica"/>
          <w:b/>
          <w:color w:val="C00000"/>
          <w:sz w:val="24"/>
          <w:szCs w:val="24"/>
          <w:u w:val="single"/>
          <w:shd w:val="clear" w:color="auto" w:fill="FFFFFF"/>
        </w:rPr>
        <w:t>o Contrato Verde e Amarelo, altera a CLT e extingue a multa de 10% do FGTS</w:t>
      </w:r>
    </w:p>
    <w:p w:rsidR="0020168C" w:rsidRDefault="0020168C" w:rsidP="00D409AF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595959" w:themeColor="text1" w:themeTint="A6"/>
          <w:lang w:eastAsia="pt-BR"/>
        </w:rPr>
      </w:pPr>
    </w:p>
    <w:p w:rsidR="00660A9E" w:rsidRDefault="00660A9E" w:rsidP="00D409AF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Times New Roman"/>
          <w:color w:val="595959" w:themeColor="text1" w:themeTint="A6"/>
          <w:lang w:eastAsia="pt-BR"/>
        </w:rPr>
        <w:t>O Governo Federal, por meio da </w:t>
      </w:r>
      <w:hyperlink r:id="rId9" w:tgtFrame="_blank" w:history="1">
        <w:r w:rsidRPr="00343BB2">
          <w:rPr>
            <w:rFonts w:ascii="Lucida Sans" w:eastAsia="Times New Roman" w:hAnsi="Lucida Sans" w:cs="Times New Roman"/>
            <w:b/>
            <w:color w:val="595959" w:themeColor="text1" w:themeTint="A6"/>
            <w:lang w:eastAsia="pt-BR"/>
          </w:rPr>
          <w:t>Medida Provisória 905</w:t>
        </w:r>
      </w:hyperlink>
      <w:r w:rsidRPr="00660A9E">
        <w:rPr>
          <w:rFonts w:ascii="Lucida Sans" w:eastAsia="Times New Roman" w:hAnsi="Lucida Sans" w:cs="Times New Roman"/>
          <w:color w:val="595959" w:themeColor="text1" w:themeTint="A6"/>
          <w:lang w:eastAsia="pt-BR"/>
        </w:rPr>
        <w:t xml:space="preserve">, </w:t>
      </w:r>
      <w:r w:rsidRPr="00660A9E"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  <w:t>de 11-11-2019</w:t>
      </w:r>
      <w:r w:rsidRPr="00660A9E">
        <w:rPr>
          <w:rFonts w:ascii="Lucida Sans" w:eastAsia="Times New Roman" w:hAnsi="Lucida Sans" w:cs="Times New Roman"/>
          <w:color w:val="595959" w:themeColor="text1" w:themeTint="A6"/>
          <w:lang w:eastAsia="pt-BR"/>
        </w:rPr>
        <w:t xml:space="preserve">, </w:t>
      </w:r>
      <w:r w:rsidRPr="00660A9E"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  <w:t>publicada na terça-feira, 12-11</w:t>
      </w:r>
      <w:r w:rsidRPr="00660A9E">
        <w:rPr>
          <w:rFonts w:ascii="Lucida Sans" w:eastAsia="Times New Roman" w:hAnsi="Lucida Sans" w:cs="Times New Roman"/>
          <w:color w:val="595959" w:themeColor="text1" w:themeTint="A6"/>
          <w:lang w:eastAsia="pt-BR"/>
        </w:rPr>
        <w:t xml:space="preserve">, entre outras normas, altera e revoga </w:t>
      </w:r>
      <w:r w:rsidR="00343BB2">
        <w:rPr>
          <w:rFonts w:ascii="Lucida Sans" w:eastAsia="Times New Roman" w:hAnsi="Lucida Sans" w:cs="Times New Roman"/>
          <w:color w:val="595959" w:themeColor="text1" w:themeTint="A6"/>
          <w:lang w:eastAsia="pt-BR"/>
        </w:rPr>
        <w:t xml:space="preserve">os seguintes </w:t>
      </w:r>
      <w:r w:rsidRPr="00660A9E">
        <w:rPr>
          <w:rFonts w:ascii="Lucida Sans" w:eastAsia="Times New Roman" w:hAnsi="Lucida Sans" w:cs="Times New Roman"/>
          <w:color w:val="595959" w:themeColor="text1" w:themeTint="A6"/>
          <w:lang w:eastAsia="pt-BR"/>
        </w:rPr>
        <w:t>dispositivos</w:t>
      </w:r>
      <w:r w:rsidR="00343BB2">
        <w:rPr>
          <w:rFonts w:ascii="Lucida Sans" w:eastAsia="Times New Roman" w:hAnsi="Lucida Sans" w:cs="Times New Roman"/>
          <w:color w:val="595959" w:themeColor="text1" w:themeTint="A6"/>
          <w:lang w:eastAsia="pt-BR"/>
        </w:rPr>
        <w:t>:</w:t>
      </w:r>
    </w:p>
    <w:p w:rsidR="00343BB2" w:rsidRPr="00660A9E" w:rsidRDefault="00343BB2" w:rsidP="00D409AF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595959" w:themeColor="text1" w:themeTint="A6"/>
          <w:lang w:eastAsia="pt-BR"/>
        </w:rPr>
      </w:pPr>
    </w:p>
    <w:p w:rsidR="00660A9E" w:rsidRDefault="00660A9E" w:rsidP="00D409AF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Times New Roman"/>
          <w:color w:val="595959" w:themeColor="text1" w:themeTint="A6"/>
          <w:lang w:eastAsia="pt-BR"/>
        </w:rPr>
        <w:t xml:space="preserve">– </w:t>
      </w:r>
      <w:r w:rsidRPr="0020168C"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  <w:t>institui o Contrato de Trabalho Verde e Amarelo, modalidade de contratação destinada à criação de novos postos de trabalho para as pessoas entre 18 e 29 anos de idade, onde a contratação será permitida no período de 1-1-2020 a 31-12-2021;</w:t>
      </w:r>
    </w:p>
    <w:p w:rsidR="00D409AF" w:rsidRPr="00660A9E" w:rsidRDefault="00D409AF" w:rsidP="00D409AF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595959" w:themeColor="text1" w:themeTint="A6"/>
          <w:lang w:eastAsia="pt-BR"/>
        </w:rPr>
      </w:pPr>
    </w:p>
    <w:p w:rsidR="00660A9E" w:rsidRPr="0020168C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Times New Roman"/>
          <w:color w:val="595959" w:themeColor="text1" w:themeTint="A6"/>
          <w:lang w:eastAsia="pt-BR"/>
        </w:rPr>
        <w:t xml:space="preserve">– </w:t>
      </w:r>
      <w:r w:rsidRPr="0020168C"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  <w:t>cria o Programa de Habilitação e Reabilitação Física e Profissional, Prevenção e Redução de Acidentes de Trabalho;</w:t>
      </w:r>
    </w:p>
    <w:p w:rsidR="00D409AF" w:rsidRPr="0020168C" w:rsidRDefault="00D409A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</w:pPr>
    </w:p>
    <w:p w:rsidR="00660A9E" w:rsidRPr="0020168C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</w:pPr>
      <w:r w:rsidRPr="0020168C"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  <w:lastRenderedPageBreak/>
        <w:t>– extingue, a partir de 1-1-2020, a Contribuição Social de 10%, de que trata a </w:t>
      </w:r>
      <w:hyperlink r:id="rId10" w:tgtFrame="_blank" w:history="1">
        <w:r w:rsidRPr="0020168C">
          <w:rPr>
            <w:rFonts w:ascii="Lucida Sans" w:eastAsia="Times New Roman" w:hAnsi="Lucida Sans" w:cs="Times New Roman"/>
            <w:b/>
            <w:color w:val="595959" w:themeColor="text1" w:themeTint="A6"/>
            <w:lang w:eastAsia="pt-BR"/>
          </w:rPr>
          <w:t>Lei Complementar 110</w:t>
        </w:r>
      </w:hyperlink>
      <w:r w:rsidRPr="0020168C"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  <w:t>, de 29-6-2001, devida nas hipóteses de demissões de empregados sem justa causa, calculada sobre o montante de todos os depósitos do FGTS;</w:t>
      </w:r>
    </w:p>
    <w:p w:rsidR="00D409AF" w:rsidRPr="00660A9E" w:rsidRDefault="00D409A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595959" w:themeColor="text1" w:themeTint="A6"/>
          <w:lang w:eastAsia="pt-BR"/>
        </w:rPr>
      </w:pPr>
    </w:p>
    <w:p w:rsidR="00660A9E" w:rsidRPr="0020168C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</w:pPr>
      <w:r w:rsidRPr="0020168C"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  <w:t>– autoriza o trabalho aos domingos e feriados;</w:t>
      </w:r>
    </w:p>
    <w:p w:rsidR="00D409AF" w:rsidRPr="00660A9E" w:rsidRDefault="00D409A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595959" w:themeColor="text1" w:themeTint="A6"/>
          <w:lang w:eastAsia="pt-BR"/>
        </w:rPr>
      </w:pPr>
    </w:p>
    <w:p w:rsidR="00660A9E" w:rsidRPr="0020168C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Times New Roman"/>
          <w:color w:val="595959" w:themeColor="text1" w:themeTint="A6"/>
          <w:lang w:eastAsia="pt-BR"/>
        </w:rPr>
        <w:t xml:space="preserve">– </w:t>
      </w:r>
      <w:r w:rsidRPr="0020168C"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  <w:t>o repouso semanal remunerado deverá coincidir com o domingo, no mínimo, uma vez no período máximo de 4 semanas para os setores de comércio e serviços e, no mínimo, uma vez no período máximo de 7 semanas para o setor industrial;</w:t>
      </w:r>
    </w:p>
    <w:p w:rsidR="00D409AF" w:rsidRPr="00660A9E" w:rsidRDefault="00D409A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595959" w:themeColor="text1" w:themeTint="A6"/>
          <w:lang w:eastAsia="pt-BR"/>
        </w:rPr>
      </w:pPr>
    </w:p>
    <w:p w:rsidR="00660A9E" w:rsidRPr="0020168C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Times New Roman"/>
          <w:color w:val="595959" w:themeColor="text1" w:themeTint="A6"/>
          <w:lang w:eastAsia="pt-BR"/>
        </w:rPr>
        <w:t xml:space="preserve">– </w:t>
      </w:r>
      <w:r w:rsidRPr="0020168C"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  <w:t>altera, a partir de 10-2-2020, os valores das multas administrativas por infrações à legislação de proteção ao trabalho, que serão aplicadas de acordo com a natureza, leve, média, grave ou gravíssima;</w:t>
      </w:r>
    </w:p>
    <w:p w:rsidR="00D409AF" w:rsidRPr="00660A9E" w:rsidRDefault="00D409A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595959" w:themeColor="text1" w:themeTint="A6"/>
          <w:lang w:eastAsia="pt-BR"/>
        </w:rPr>
      </w:pPr>
    </w:p>
    <w:p w:rsidR="00660A9E" w:rsidRPr="0020168C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Times New Roman"/>
          <w:color w:val="595959" w:themeColor="text1" w:themeTint="A6"/>
          <w:lang w:eastAsia="pt-BR"/>
        </w:rPr>
        <w:t xml:space="preserve">– </w:t>
      </w:r>
      <w:r w:rsidRPr="0020168C"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  <w:t>a partir de 1-3-2020, será descontada a contribuição previdenciária sobre os valores pagos ao beneficiário do seguro-desemprego;</w:t>
      </w:r>
    </w:p>
    <w:p w:rsidR="00D409AF" w:rsidRPr="0020168C" w:rsidRDefault="00D409A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</w:pPr>
    </w:p>
    <w:p w:rsidR="00660A9E" w:rsidRPr="0020168C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Times New Roman"/>
          <w:color w:val="595959" w:themeColor="text1" w:themeTint="A6"/>
          <w:lang w:eastAsia="pt-BR"/>
        </w:rPr>
        <w:t xml:space="preserve">– </w:t>
      </w:r>
      <w:r w:rsidRPr="0020168C"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  <w:t>os débitos trabalhistas de qualquer natureza sofrerão juros de mora equivalentes ao índice aplicado à caderneta de poupança;</w:t>
      </w:r>
    </w:p>
    <w:p w:rsidR="00D409AF" w:rsidRPr="00660A9E" w:rsidRDefault="00D409A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595959" w:themeColor="text1" w:themeTint="A6"/>
          <w:lang w:eastAsia="pt-BR"/>
        </w:rPr>
      </w:pPr>
    </w:p>
    <w:p w:rsidR="00660A9E" w:rsidRPr="0020168C" w:rsidRDefault="00660A9E" w:rsidP="00D409AF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Times New Roman"/>
          <w:color w:val="595959" w:themeColor="text1" w:themeTint="A6"/>
          <w:lang w:eastAsia="pt-BR"/>
        </w:rPr>
        <w:t xml:space="preserve">– </w:t>
      </w:r>
      <w:r w:rsidRPr="0020168C">
        <w:rPr>
          <w:rFonts w:ascii="Lucida Sans" w:eastAsia="Times New Roman" w:hAnsi="Lucida Sans" w:cs="Times New Roman"/>
          <w:b/>
          <w:color w:val="595959" w:themeColor="text1" w:themeTint="A6"/>
          <w:lang w:eastAsia="pt-BR"/>
        </w:rPr>
        <w:t>o beneficiário do Seguro-Desemprego passa a ser segurado obrigatório da Previdência Social durante os meses de percepção do benefício.</w:t>
      </w:r>
    </w:p>
    <w:p w:rsidR="00537D95" w:rsidRPr="00660A9E" w:rsidRDefault="00537D95" w:rsidP="00D409AF">
      <w:pPr>
        <w:spacing w:line="240" w:lineRule="auto"/>
        <w:jc w:val="both"/>
        <w:rPr>
          <w:rFonts w:ascii="Lucida Sans" w:hAnsi="Lucida Sans"/>
        </w:rPr>
      </w:pPr>
    </w:p>
    <w:p w:rsidR="00660A9E" w:rsidRPr="00D409AF" w:rsidRDefault="00660A9E" w:rsidP="00D409AF">
      <w:pPr>
        <w:spacing w:line="240" w:lineRule="auto"/>
        <w:jc w:val="center"/>
        <w:rPr>
          <w:rFonts w:ascii="Lucida Sans" w:hAnsi="Lucida Sans"/>
          <w:b/>
          <w:color w:val="C00000"/>
          <w:sz w:val="24"/>
          <w:szCs w:val="24"/>
          <w:u w:val="single"/>
        </w:rPr>
      </w:pPr>
      <w:r w:rsidRPr="00D409AF">
        <w:rPr>
          <w:rFonts w:ascii="Lucida Sans" w:hAnsi="Lucida Sans" w:cs="Helvetica"/>
          <w:b/>
          <w:color w:val="C00000"/>
          <w:sz w:val="24"/>
          <w:szCs w:val="24"/>
          <w:u w:val="single"/>
          <w:shd w:val="clear" w:color="auto" w:fill="FFFFFF"/>
        </w:rPr>
        <w:t>Novas funcionalidades deixam o eSocial Web Doméstico mais simples</w:t>
      </w:r>
    </w:p>
    <w:p w:rsidR="00660A9E" w:rsidRP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0033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O módulo web doméstico passou por grandes mudanças a partir de segunda-feira (</w:t>
      </w:r>
      <w:r w:rsidRPr="00660A9E">
        <w:rPr>
          <w:rFonts w:ascii="Lucida Sans" w:eastAsia="Times New Roman" w:hAnsi="Lucida Sans" w:cs="Times New Roman"/>
          <w:b/>
          <w:color w:val="666666"/>
          <w:lang w:eastAsia="pt-BR"/>
        </w:rPr>
        <w:t>11/11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>). Além das ferramentas e automatizações que os empregadores domésticos já podiam utilizar, foram implementadas novas funcionalidades e simplificados processos atuais. </w:t>
      </w:r>
    </w:p>
    <w:p w:rsidR="00660A9E" w:rsidRP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003366"/>
          <w:lang w:eastAsia="pt-BR"/>
        </w:rPr>
      </w:pPr>
    </w:p>
    <w:p w:rsidR="00660A9E" w:rsidRP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0033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As novas funcionalidades foram desenvolvidas a partir de um diagnóstico feito pela Secretaria de Governo Digital que detectou as principais dificuldades dos usuár</w:t>
      </w:r>
      <w:r w:rsidR="00D409AF">
        <w:rPr>
          <w:rFonts w:ascii="Lucida Sans" w:eastAsia="Times New Roman" w:hAnsi="Lucida Sans" w:cs="Times New Roman"/>
          <w:color w:val="666666"/>
          <w:lang w:eastAsia="pt-BR"/>
        </w:rPr>
        <w:t>ios, nos pontos mais demandados, a saber:</w:t>
      </w:r>
    </w:p>
    <w:p w:rsidR="00D409AF" w:rsidRPr="00D409AF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</w:r>
      <w:r w:rsidRPr="00660A9E">
        <w:rPr>
          <w:rFonts w:ascii="Lucida Sans" w:eastAsia="Times New Roman" w:hAnsi="Lucida Sans" w:cs="Times New Roman"/>
          <w:b/>
          <w:color w:val="666666"/>
          <w:lang w:eastAsia="pt-BR"/>
        </w:rPr>
        <w:t>Assistente passo a passo de férias</w:t>
      </w:r>
    </w:p>
    <w:p w:rsidR="00D409AF" w:rsidRDefault="00D409A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>
        <w:rPr>
          <w:rFonts w:ascii="Lucida Sans" w:eastAsia="Times New Roman" w:hAnsi="Lucida Sans" w:cs="Times New Roman"/>
          <w:color w:val="666666"/>
          <w:lang w:eastAsia="pt-BR"/>
        </w:rPr>
        <w:br/>
      </w:r>
      <w:r w:rsidR="00660A9E"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O chamado "wizard" ou "assistente" é uma ferramenta que guia o usuário em todos os passos da prestação da informação, de forma intuitiva e simples. Assim, a possibilidade de erro é minimizada e as informações são </w:t>
      </w:r>
      <w:r w:rsidR="00660A9E" w:rsidRPr="00660A9E">
        <w:rPr>
          <w:rFonts w:ascii="Lucida Sans" w:eastAsia="Times New Roman" w:hAnsi="Lucida Sans" w:cs="Times New Roman"/>
          <w:color w:val="666666"/>
          <w:lang w:eastAsia="pt-BR"/>
        </w:rPr>
        <w:lastRenderedPageBreak/>
        <w:t xml:space="preserve">apresentadas de maneira clara e transparente, principalmente nos casos em que as férias abrangem mais de um mês do calendário. Os descontos, adiantamentos e pagamentos ficaram mais fáceis de ser entendidos. </w:t>
      </w:r>
      <w:r w:rsidRPr="00A649DE">
        <w:rPr>
          <w:rFonts w:ascii="Lucida Sans" w:eastAsia="Times New Roman" w:hAnsi="Lucida Sans" w:cs="Times New Roman"/>
          <w:b/>
          <w:color w:val="666666"/>
          <w:lang w:eastAsia="pt-BR"/>
        </w:rPr>
        <w:t>O link para a nova ferramenta é</w:t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 xml:space="preserve"> encontra</w:t>
      </w:r>
      <w:r w:rsidRPr="00A649DE">
        <w:rPr>
          <w:rFonts w:ascii="Lucida Sans" w:eastAsia="Times New Roman" w:hAnsi="Lucida Sans" w:cs="Times New Roman"/>
          <w:b/>
          <w:color w:val="666666"/>
          <w:lang w:eastAsia="pt-BR"/>
        </w:rPr>
        <w:t xml:space="preserve">do </w:t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>diretamente na página principal do eSocial, no menu de "Acesso Rápido".</w:t>
      </w:r>
    </w:p>
    <w:p w:rsidR="00D409AF" w:rsidRPr="00D409AF" w:rsidRDefault="00660A9E" w:rsidP="00D409AF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</w:r>
      <w:r w:rsidRPr="00660A9E">
        <w:rPr>
          <w:rFonts w:ascii="Lucida Sans" w:eastAsia="Times New Roman" w:hAnsi="Lucida Sans" w:cs="Times New Roman"/>
          <w:b/>
          <w:color w:val="666666"/>
          <w:lang w:eastAsia="pt-BR"/>
        </w:rPr>
        <w:t>Nova ferramenta completa de férias</w:t>
      </w:r>
    </w:p>
    <w:p w:rsidR="00D409AF" w:rsidRPr="00A649DE" w:rsidRDefault="00D409A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lang w:eastAsia="pt-BR"/>
        </w:rPr>
      </w:pPr>
      <w:r>
        <w:rPr>
          <w:rFonts w:ascii="Lucida Sans" w:eastAsia="Times New Roman" w:hAnsi="Lucida Sans" w:cs="Times New Roman"/>
          <w:color w:val="666666"/>
          <w:lang w:eastAsia="pt-BR"/>
        </w:rPr>
        <w:br/>
      </w:r>
      <w:r w:rsidR="00660A9E"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Para os usuários mais experientes e que preferem ter uma visão completa, está disponível também a nova ferramenta de férias. Com ela, será possível informar as férias em casos de alteração de salário base por força de necessidade de cálculo de médias salariais, por exemplo. A nova ferramenta está mais limpa, clara e não menos intuitiva, com as informações sendo apresentadas em uma única tela. </w:t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 xml:space="preserve">Para </w:t>
      </w:r>
      <w:r w:rsidR="00A649DE">
        <w:rPr>
          <w:rFonts w:ascii="Lucida Sans" w:eastAsia="Times New Roman" w:hAnsi="Lucida Sans" w:cs="Times New Roman"/>
          <w:b/>
          <w:color w:val="666666"/>
          <w:lang w:eastAsia="pt-BR"/>
        </w:rPr>
        <w:t>utilizar</w:t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 xml:space="preserve"> a ferramenta completa, </w:t>
      </w:r>
      <w:r w:rsidR="005F61D1">
        <w:rPr>
          <w:rFonts w:ascii="Lucida Sans" w:eastAsia="Times New Roman" w:hAnsi="Lucida Sans" w:cs="Times New Roman"/>
          <w:b/>
          <w:color w:val="666666"/>
          <w:lang w:eastAsia="pt-BR"/>
        </w:rPr>
        <w:t xml:space="preserve">deve ser acessado - </w:t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>Empregados&gt;Gestão de Empregados, selecion</w:t>
      </w:r>
      <w:r w:rsidR="005F61D1">
        <w:rPr>
          <w:rFonts w:ascii="Lucida Sans" w:eastAsia="Times New Roman" w:hAnsi="Lucida Sans" w:cs="Times New Roman"/>
          <w:b/>
          <w:color w:val="666666"/>
          <w:lang w:eastAsia="pt-BR"/>
        </w:rPr>
        <w:t>ando</w:t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 xml:space="preserve"> o trabalhador e cli</w:t>
      </w:r>
      <w:r w:rsidR="005F61D1">
        <w:rPr>
          <w:rFonts w:ascii="Lucida Sans" w:eastAsia="Times New Roman" w:hAnsi="Lucida Sans" w:cs="Times New Roman"/>
          <w:b/>
          <w:color w:val="666666"/>
          <w:lang w:eastAsia="pt-BR"/>
        </w:rPr>
        <w:t>cando</w:t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 xml:space="preserve"> no botão "Férias".</w:t>
      </w:r>
    </w:p>
    <w:p w:rsidR="00D409AF" w:rsidRPr="00D409AF" w:rsidRDefault="00D409A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lang w:eastAsia="pt-BR"/>
        </w:rPr>
      </w:pPr>
      <w:r>
        <w:rPr>
          <w:rFonts w:ascii="Lucida Sans" w:eastAsia="Times New Roman" w:hAnsi="Lucida Sans" w:cs="Times New Roman"/>
          <w:color w:val="666666"/>
          <w:lang w:eastAsia="pt-BR"/>
        </w:rPr>
        <w:br/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>Novo recibo de férias</w:t>
      </w:r>
    </w:p>
    <w:p w:rsidR="00A649DE" w:rsidRDefault="00D409A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>
        <w:rPr>
          <w:rFonts w:ascii="Lucida Sans" w:eastAsia="Times New Roman" w:hAnsi="Lucida Sans" w:cs="Times New Roman"/>
          <w:color w:val="666666"/>
          <w:lang w:eastAsia="pt-BR"/>
        </w:rPr>
        <w:br/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>A emissão do recibo de antecipação de férias foi reformulada e o documento passou a ter o padrão dos demais do eSocial</w:t>
      </w:r>
      <w:r w:rsidR="00660A9E" w:rsidRPr="00660A9E">
        <w:rPr>
          <w:rFonts w:ascii="Lucida Sans" w:eastAsia="Times New Roman" w:hAnsi="Lucida Sans" w:cs="Times New Roman"/>
          <w:color w:val="666666"/>
          <w:lang w:eastAsia="pt-BR"/>
        </w:rPr>
        <w:t>. As informações são inseridas de maneira que tanto empregador quanto trabalhador entendam as verbas pagas e descontos que ocorrerão em cada mês.</w:t>
      </w:r>
    </w:p>
    <w:p w:rsidR="00A649DE" w:rsidRPr="00A649DE" w:rsidRDefault="00A649D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lang w:eastAsia="pt-BR"/>
        </w:rPr>
      </w:pPr>
      <w:r>
        <w:rPr>
          <w:rFonts w:ascii="Lucida Sans" w:eastAsia="Times New Roman" w:hAnsi="Lucida Sans" w:cs="Times New Roman"/>
          <w:color w:val="666666"/>
          <w:lang w:eastAsia="pt-BR"/>
        </w:rPr>
        <w:br/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>Assistente de reajuste salarial</w:t>
      </w:r>
    </w:p>
    <w:p w:rsidR="00A649DE" w:rsidRDefault="00A649D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>
        <w:rPr>
          <w:rFonts w:ascii="Lucida Sans" w:eastAsia="Times New Roman" w:hAnsi="Lucida Sans" w:cs="Times New Roman"/>
          <w:color w:val="666666"/>
          <w:lang w:eastAsia="pt-BR"/>
        </w:rPr>
        <w:br/>
      </w:r>
      <w:r w:rsidR="00660A9E"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Agora o empregador não precisa mais entrar na ferramenta de alteração contratual para conseguir reajustar o salário do empregado. A nova funcionalidade é simples e direta. Traz apenas os dados necessários para que o empregador informe os reajustes salariais do trabalhador rapidamente, sem complicação. </w:t>
      </w:r>
      <w:r w:rsidRPr="005F61D1">
        <w:rPr>
          <w:rFonts w:ascii="Lucida Sans" w:eastAsia="Times New Roman" w:hAnsi="Lucida Sans" w:cs="Times New Roman"/>
          <w:b/>
          <w:color w:val="666666"/>
          <w:lang w:eastAsia="pt-BR"/>
        </w:rPr>
        <w:t>Basta</w:t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 xml:space="preserve"> encontra</w:t>
      </w:r>
      <w:r w:rsidRPr="005F61D1">
        <w:rPr>
          <w:rFonts w:ascii="Lucida Sans" w:eastAsia="Times New Roman" w:hAnsi="Lucida Sans" w:cs="Times New Roman"/>
          <w:b/>
          <w:color w:val="666666"/>
          <w:lang w:eastAsia="pt-BR"/>
        </w:rPr>
        <w:t>r</w:t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 xml:space="preserve"> o link para o assistente na tela principal do eSocial, no menu "Acesso Rápido".</w:t>
      </w:r>
    </w:p>
    <w:p w:rsidR="00A649DE" w:rsidRPr="00A649D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</w:r>
      <w:r w:rsidRPr="00660A9E">
        <w:rPr>
          <w:rFonts w:ascii="Lucida Sans" w:eastAsia="Times New Roman" w:hAnsi="Lucida Sans" w:cs="Times New Roman"/>
          <w:b/>
          <w:color w:val="666666"/>
          <w:lang w:eastAsia="pt-BR"/>
        </w:rPr>
        <w:t>Assistente passo a passo de desligamento</w:t>
      </w:r>
    </w:p>
    <w:p w:rsidR="00A649DE" w:rsidRDefault="00A649D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>
        <w:rPr>
          <w:rFonts w:ascii="Lucida Sans" w:eastAsia="Times New Roman" w:hAnsi="Lucida Sans" w:cs="Times New Roman"/>
          <w:color w:val="666666"/>
          <w:lang w:eastAsia="pt-BR"/>
        </w:rPr>
        <w:br/>
      </w:r>
      <w:r w:rsidR="00660A9E"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Um dos momentos em que os empregadores têm mais dúvidas é quando precisam desligar o trabalhador. Pensando nisso foi desenvolvida um assistente passo a passo. O preenchimento de campos que muitas vezes traziam termos técnicos desconhecidos pelo empregador foi substituído por </w:t>
      </w:r>
      <w:r w:rsidR="00660A9E" w:rsidRPr="00660A9E">
        <w:rPr>
          <w:rFonts w:ascii="Lucida Sans" w:eastAsia="Times New Roman" w:hAnsi="Lucida Sans" w:cs="Times New Roman"/>
          <w:color w:val="666666"/>
          <w:lang w:eastAsia="pt-BR"/>
        </w:rPr>
        <w:lastRenderedPageBreak/>
        <w:t xml:space="preserve">perguntas simples e automatizações que deixam o desligamento descomplicado e evitam erros. A ferramenta guia o usuário em todos os momentos, trazendo conceitos e explicando os termos que podem não fazer parte do dia a dia do empregador. Tudo para que ele possa ter segurança de que está cumprindo sua obrigação nesse momento que é o mais difícil da vida laboral do trabalhador e o que costuma gerar mais dúvidas. </w:t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 xml:space="preserve">Para fazer o desligamento do trabalhador com a nova ferramenta, </w:t>
      </w:r>
      <w:r w:rsidR="005F61D1">
        <w:rPr>
          <w:rFonts w:ascii="Lucida Sans" w:eastAsia="Times New Roman" w:hAnsi="Lucida Sans" w:cs="Times New Roman"/>
          <w:b/>
          <w:color w:val="666666"/>
          <w:lang w:eastAsia="pt-BR"/>
        </w:rPr>
        <w:t xml:space="preserve">deve ser </w:t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>acess</w:t>
      </w:r>
      <w:r w:rsidR="005F61D1">
        <w:rPr>
          <w:rFonts w:ascii="Lucida Sans" w:eastAsia="Times New Roman" w:hAnsi="Lucida Sans" w:cs="Times New Roman"/>
          <w:b/>
          <w:color w:val="666666"/>
          <w:lang w:eastAsia="pt-BR"/>
        </w:rPr>
        <w:t>ado</w:t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 xml:space="preserve"> a opção Gestão de Empregados no menu Empregados, selecion</w:t>
      </w:r>
      <w:r w:rsidR="005F61D1">
        <w:rPr>
          <w:rFonts w:ascii="Lucida Sans" w:eastAsia="Times New Roman" w:hAnsi="Lucida Sans" w:cs="Times New Roman"/>
          <w:b/>
          <w:color w:val="666666"/>
          <w:lang w:eastAsia="pt-BR"/>
        </w:rPr>
        <w:t>ando</w:t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 xml:space="preserve"> o trabalhador e cli</w:t>
      </w:r>
      <w:r w:rsidR="005F61D1">
        <w:rPr>
          <w:rFonts w:ascii="Lucida Sans" w:eastAsia="Times New Roman" w:hAnsi="Lucida Sans" w:cs="Times New Roman"/>
          <w:b/>
          <w:color w:val="666666"/>
          <w:lang w:eastAsia="pt-BR"/>
        </w:rPr>
        <w:t>cando</w:t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 xml:space="preserve"> no botão Desligamento</w:t>
      </w:r>
      <w:r w:rsidR="00660A9E" w:rsidRPr="00660A9E">
        <w:rPr>
          <w:rFonts w:ascii="Lucida Sans" w:eastAsia="Times New Roman" w:hAnsi="Lucida Sans" w:cs="Times New Roman"/>
          <w:color w:val="666666"/>
          <w:lang w:eastAsia="pt-BR"/>
        </w:rPr>
        <w:t>.</w:t>
      </w:r>
    </w:p>
    <w:p w:rsidR="00A649DE" w:rsidRPr="00A649DE" w:rsidRDefault="00A649D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lang w:eastAsia="pt-BR"/>
        </w:rPr>
      </w:pPr>
      <w:r>
        <w:rPr>
          <w:rFonts w:ascii="Lucida Sans" w:eastAsia="Times New Roman" w:hAnsi="Lucida Sans" w:cs="Times New Roman"/>
          <w:color w:val="666666"/>
          <w:lang w:eastAsia="pt-BR"/>
        </w:rPr>
        <w:br/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>Lançamento automático da primeira parcela do 13º Salário</w:t>
      </w:r>
    </w:p>
    <w:p w:rsidR="005F61D1" w:rsidRDefault="00A649D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>
        <w:rPr>
          <w:rFonts w:ascii="Lucida Sans" w:eastAsia="Times New Roman" w:hAnsi="Lucida Sans" w:cs="Times New Roman"/>
          <w:color w:val="666666"/>
          <w:lang w:eastAsia="pt-BR"/>
        </w:rPr>
        <w:br/>
      </w:r>
      <w:r w:rsidR="00660A9E" w:rsidRPr="00660A9E">
        <w:rPr>
          <w:rFonts w:ascii="Lucida Sans" w:eastAsia="Times New Roman" w:hAnsi="Lucida Sans" w:cs="Times New Roman"/>
          <w:color w:val="666666"/>
          <w:lang w:eastAsia="pt-BR"/>
        </w:rPr>
        <w:t>Os empregadores já se acostumaram com o cálculo automático da folha do 13º salário em dezembro, mas muitos ainda demonstram ter dúvidas quando precisam fazer o pagamento da primeira parcela. Com isso em mente, foi implementada uma nova funcionalidade que calcula e insere automaticamente o valor da primeira parcela do 13º salário em novembro, caso o empregador já não tenha feito o adiantamento em um mês anterior. Assim, o fechamento da folha de novembro ficou ainda mais simples, dispensando a edição da remuneração do trabalhador para incluir essa parcela.</w:t>
      </w:r>
    </w:p>
    <w:p w:rsidR="005F61D1" w:rsidRPr="005F61D1" w:rsidRDefault="005F61D1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lang w:eastAsia="pt-BR"/>
        </w:rPr>
      </w:pPr>
      <w:r>
        <w:rPr>
          <w:rFonts w:ascii="Lucida Sans" w:eastAsia="Times New Roman" w:hAnsi="Lucida Sans" w:cs="Times New Roman"/>
          <w:color w:val="666666"/>
          <w:lang w:eastAsia="pt-BR"/>
        </w:rPr>
        <w:br/>
      </w:r>
      <w:r w:rsidR="00660A9E" w:rsidRPr="00660A9E">
        <w:rPr>
          <w:rFonts w:ascii="Lucida Sans" w:eastAsia="Times New Roman" w:hAnsi="Lucida Sans" w:cs="Times New Roman"/>
          <w:b/>
          <w:color w:val="666666"/>
          <w:lang w:eastAsia="pt-BR"/>
        </w:rPr>
        <w:t>A funcionalidade já está valendo para este mês de novembro e, ao acessar a folha, o empregador que ainda não pagou o adiantamento do 13º ao longo do ano verá que o sistema já vai ter inserido o valor do adiantamento automaticamente no cálculo sugerido pelo eSocial.</w:t>
      </w:r>
    </w:p>
    <w:p w:rsidR="005F61D1" w:rsidRPr="005F61D1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</w:r>
      <w:r w:rsidRPr="00660A9E">
        <w:rPr>
          <w:rFonts w:ascii="Lucida Sans" w:eastAsia="Times New Roman" w:hAnsi="Lucida Sans" w:cs="Times New Roman"/>
          <w:b/>
          <w:color w:val="666666"/>
          <w:lang w:eastAsia="pt-BR"/>
        </w:rPr>
        <w:t>Novos alertas, lembretes e atalhos na página principal</w:t>
      </w:r>
    </w:p>
    <w:p w:rsidR="005F61D1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color w:val="666666"/>
          <w:lang w:eastAsia="pt-BR"/>
        </w:rPr>
        <w:br/>
        <w:t>Os usuários perceberão que o sistema passará a exibir alertas e lembretes na página principal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>. Por exemplo, se o usuário se esqueceu de encerrar alguma folha antiga, será alertado pelo eSocial. Além disso, as funcionalidades dos atalhos do "Acesso Rápido", na tela principal, direcionarão o usuário diretamente para o trabalhador, evitando cliques desnecessários e simplificando o trabalho. Por exemplo, o empregador poderá utilizar a nova funcionalidade do assistente de férias simplesmente clicando no acesso rápido e, quando tiver mais de um empregado, selecionará ali mesmo o trabalhador para o qual deseja prestar informação no sistema. Tudo simples e direto.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  <w:t xml:space="preserve">As novidades não vão parar por </w:t>
      </w:r>
      <w:r w:rsidR="005F61D1">
        <w:rPr>
          <w:rFonts w:ascii="Lucida Sans" w:eastAsia="Times New Roman" w:hAnsi="Lucida Sans" w:cs="Times New Roman"/>
          <w:color w:val="666666"/>
          <w:lang w:eastAsia="pt-BR"/>
        </w:rPr>
        <w:t>aí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. </w:t>
      </w:r>
      <w:r w:rsidR="005F61D1">
        <w:rPr>
          <w:rFonts w:ascii="Lucida Sans" w:eastAsia="Times New Roman" w:hAnsi="Lucida Sans" w:cs="Times New Roman"/>
          <w:color w:val="666666"/>
          <w:lang w:eastAsia="pt-BR"/>
        </w:rPr>
        <w:t>M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>ais ferramentas de auxílio e simplificação serão apresentadas em breve.</w:t>
      </w:r>
    </w:p>
    <w:p w:rsidR="00660A9E" w:rsidRP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 </w:t>
      </w:r>
    </w:p>
    <w:p w:rsidR="00660A9E" w:rsidRDefault="00660A9E" w:rsidP="005F61D1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sz w:val="16"/>
          <w:szCs w:val="16"/>
          <w:lang w:eastAsia="pt-BR"/>
        </w:rPr>
      </w:pPr>
      <w:r w:rsidRPr="00660A9E">
        <w:rPr>
          <w:rFonts w:ascii="Lucida Sans" w:eastAsia="Times New Roman" w:hAnsi="Lucida Sans" w:cs="Times New Roman"/>
          <w:b/>
          <w:color w:val="666666"/>
          <w:sz w:val="16"/>
          <w:szCs w:val="16"/>
          <w:lang w:eastAsia="pt-BR"/>
        </w:rPr>
        <w:lastRenderedPageBreak/>
        <w:t>FONTE: ESOCIAL</w:t>
      </w:r>
    </w:p>
    <w:p w:rsidR="00E656BF" w:rsidRPr="00660A9E" w:rsidRDefault="00E656BF" w:rsidP="005F61D1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sz w:val="16"/>
          <w:szCs w:val="16"/>
          <w:lang w:eastAsia="pt-BR"/>
        </w:rPr>
      </w:pPr>
    </w:p>
    <w:p w:rsidR="00660A9E" w:rsidRPr="005F61D1" w:rsidRDefault="00660A9E" w:rsidP="005F61D1">
      <w:pPr>
        <w:spacing w:line="240" w:lineRule="auto"/>
        <w:jc w:val="center"/>
        <w:rPr>
          <w:rFonts w:ascii="Lucida Sans" w:hAnsi="Lucida Sans"/>
          <w:b/>
          <w:color w:val="C00000"/>
          <w:sz w:val="24"/>
          <w:szCs w:val="24"/>
          <w:u w:val="single"/>
        </w:rPr>
      </w:pPr>
      <w:r w:rsidRPr="005F61D1">
        <w:rPr>
          <w:rFonts w:ascii="Lucida Sans" w:hAnsi="Lucida Sans" w:cs="Helvetica"/>
          <w:b/>
          <w:color w:val="C00000"/>
          <w:sz w:val="24"/>
          <w:szCs w:val="24"/>
          <w:u w:val="single"/>
          <w:shd w:val="clear" w:color="auto" w:fill="FFFFFF"/>
        </w:rPr>
        <w:t>Congresso promulga Nova Previdência: confira as principais mudanças</w:t>
      </w:r>
    </w:p>
    <w:p w:rsidR="005F61D1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A Nova Previdência, promulgada pelo Congresso Nacional na terça-feira (</w:t>
      </w:r>
      <w:r w:rsidRPr="00660A9E">
        <w:rPr>
          <w:rFonts w:ascii="Lucida Sans" w:eastAsia="Times New Roman" w:hAnsi="Lucida Sans" w:cs="Times New Roman"/>
          <w:b/>
          <w:color w:val="666666"/>
          <w:lang w:eastAsia="pt-BR"/>
        </w:rPr>
        <w:t>12/11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>), traz uma série de modificações ao sistema previdenciário brasileiro. São novas idades de aposentadoria, novo tempo mínimo de contribuição e regras de transição para quem já é segurado, entre outras mudanças.</w:t>
      </w:r>
    </w:p>
    <w:p w:rsidR="005F61D1" w:rsidRDefault="005F61D1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A Nova Previdência entr</w:t>
      </w:r>
      <w:r w:rsidR="001F73D8">
        <w:rPr>
          <w:rFonts w:ascii="Lucida Sans" w:eastAsia="Times New Roman" w:hAnsi="Lucida Sans" w:cs="Times New Roman"/>
          <w:color w:val="666666"/>
          <w:lang w:eastAsia="pt-BR"/>
        </w:rPr>
        <w:t>ou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 em vigor na data d</w:t>
      </w:r>
      <w:r w:rsidR="001F73D8">
        <w:rPr>
          <w:rFonts w:ascii="Lucida Sans" w:eastAsia="Times New Roman" w:hAnsi="Lucida Sans" w:cs="Times New Roman"/>
          <w:color w:val="666666"/>
          <w:lang w:eastAsia="pt-BR"/>
        </w:rPr>
        <w:t>a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 publicação da </w:t>
      </w:r>
      <w:r w:rsidR="001F73D8" w:rsidRPr="00827E80">
        <w:rPr>
          <w:rFonts w:ascii="Lucida Sans" w:eastAsia="Times New Roman" w:hAnsi="Lucida Sans" w:cs="Times New Roman"/>
          <w:b/>
          <w:color w:val="666666"/>
          <w:lang w:eastAsia="pt-BR"/>
        </w:rPr>
        <w:t>E</w:t>
      </w:r>
      <w:r w:rsidRPr="00660A9E">
        <w:rPr>
          <w:rFonts w:ascii="Lucida Sans" w:eastAsia="Times New Roman" w:hAnsi="Lucida Sans" w:cs="Times New Roman"/>
          <w:b/>
          <w:color w:val="666666"/>
          <w:lang w:eastAsia="pt-BR"/>
        </w:rPr>
        <w:t xml:space="preserve">menda </w:t>
      </w:r>
      <w:r w:rsidR="001F73D8" w:rsidRPr="00827E80">
        <w:rPr>
          <w:rFonts w:ascii="Lucida Sans" w:eastAsia="Times New Roman" w:hAnsi="Lucida Sans" w:cs="Times New Roman"/>
          <w:b/>
          <w:color w:val="666666"/>
          <w:lang w:eastAsia="pt-BR"/>
        </w:rPr>
        <w:t>C</w:t>
      </w:r>
      <w:r w:rsidRPr="00660A9E">
        <w:rPr>
          <w:rFonts w:ascii="Lucida Sans" w:eastAsia="Times New Roman" w:hAnsi="Lucida Sans" w:cs="Times New Roman"/>
          <w:b/>
          <w:color w:val="666666"/>
          <w:lang w:eastAsia="pt-BR"/>
        </w:rPr>
        <w:t xml:space="preserve">onstitucional </w:t>
      </w:r>
      <w:r w:rsidR="001F73D8" w:rsidRPr="00827E80">
        <w:rPr>
          <w:rFonts w:ascii="Lucida Sans" w:eastAsia="Times New Roman" w:hAnsi="Lucida Sans" w:cs="Times New Roman"/>
          <w:b/>
          <w:color w:val="666666"/>
          <w:lang w:eastAsia="pt-BR"/>
        </w:rPr>
        <w:t>N° 103, publicada em 13/11</w:t>
      </w:r>
      <w:r w:rsidR="001F73D8">
        <w:rPr>
          <w:rFonts w:ascii="Lucida Sans" w:eastAsia="Times New Roman" w:hAnsi="Lucida Sans" w:cs="Times New Roman"/>
          <w:color w:val="666666"/>
          <w:lang w:eastAsia="pt-BR"/>
        </w:rPr>
        <w:t xml:space="preserve">, 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>no Diário Oficial da União. As novas regras valerão para segurados do Regime Geral de Previdência Social (RGPS) e do Regime Próprio de Previdência Social (RPPS) da União.</w:t>
      </w:r>
    </w:p>
    <w:p w:rsidR="001F73D8" w:rsidRPr="00660A9E" w:rsidRDefault="001F73D8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A Nova Previdência foi aprovada pela Câmara dos Deputados e pelo Senado, separadamente, em dois turnos de votação em cada Casa. A aprovação em segundo turno no plenário do Senado, em 23 de outubro de 2019, marcou o fim do processo de votação no Congresso Nacional.</w:t>
      </w:r>
    </w:p>
    <w:p w:rsidR="001F73D8" w:rsidRPr="00660A9E" w:rsidRDefault="001F73D8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Confira abaixo as principais novidades:</w:t>
      </w:r>
    </w:p>
    <w:p w:rsidR="001F73D8" w:rsidRPr="00660A9E" w:rsidRDefault="001F73D8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1F73D8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bCs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bCs/>
          <w:color w:val="666666"/>
          <w:lang w:eastAsia="pt-BR"/>
        </w:rPr>
        <w:t>Idade mínima e tempo de contribuição</w:t>
      </w:r>
    </w:p>
    <w:p w:rsidR="001F73D8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  <w:t xml:space="preserve">No Regime Geral de Previdência Social (RGPS), para trabalhadores da iniciativa privada e de municípios sem sistema previdenciário próprio, entre outros, a regra geral de aposentadoria passa a exigir, das mulheres, pelo menos 62 anos de idade e 15 anos de contribuição. No caso dos homens, 65 anos de idade e 20 anos de contribuição. </w:t>
      </w:r>
    </w:p>
    <w:p w:rsidR="001F73D8" w:rsidRDefault="001F73D8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O tempo de contribuição mínimo permanecerá em 15 anos somente para os homens que estiverem filiados ao RGPS antes de a emenda constitucional entrar em vigor.</w:t>
      </w:r>
    </w:p>
    <w:p w:rsidR="001F73D8" w:rsidRPr="00660A9E" w:rsidRDefault="001F73D8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Já para os servidores públicos federais, que contribuem para o Regime Próprio de Previdência Social (RPPS) da União, a nova regra geral exigirá 62 anos de idade para mulheres e 65 para os homens, com pelo menos 25 anos de contribuição, 10 anos de serviço público e 5 anos no cargo em que se dará a aposentadoria.</w:t>
      </w:r>
    </w:p>
    <w:p w:rsidR="001F73D8" w:rsidRPr="00660A9E" w:rsidRDefault="001F73D8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A Nova Previdência prevê regras diferentes para algumas categorias profissionais. Para os professores, por exemplo, são 25 anos de contribuição e idade mínima de 57 anos, para as mulheres, e de 60 anos para os homens. 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lastRenderedPageBreak/>
        <w:t>Essa regra somente se aplicará aos professores que comprovarem, exclusivamente, tempo de efetivo exercício nas funções de magistério na educação infantil, no ensino fundamental ou no ensino médio.</w:t>
      </w:r>
    </w:p>
    <w:p w:rsidR="001F73D8" w:rsidRPr="00660A9E" w:rsidRDefault="001F73D8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Policiais, tanto homens quanto mulheres, poderão se aposentar aos 55 anos de idade, desde que tenham 30 anos contribuição e 25 anos de efetivo exercício da função. Essa regra se aplicará aos cargos de agente penitenciário, agente socioeducativo, policial legislativo, policial federal, policial rodoviário federal, policial ferroviário federal e policial civil do Distrito Federal.</w:t>
      </w:r>
    </w:p>
    <w:p w:rsidR="001F73D8" w:rsidRPr="00660A9E" w:rsidRDefault="001F73D8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Para a aposentadoria de trabalhadores e trabalhadoras rurais, estão mantidos o tempo de contribuição de 15 anos e as idades mínimas de aposentadoria de 55 anos para as mulheres e de 60 anos para os homens.</w:t>
      </w:r>
    </w:p>
    <w:p w:rsidR="001F73D8" w:rsidRPr="00660A9E" w:rsidRDefault="001F73D8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1F73D8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bCs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bCs/>
          <w:color w:val="666666"/>
          <w:lang w:eastAsia="pt-BR"/>
        </w:rPr>
        <w:t>Cálculo do benefício</w:t>
      </w:r>
    </w:p>
    <w:p w:rsidR="00660A9E" w:rsidRP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  <w:t>Ao atingir a idade e o tempo de contribuição mínimos, os trabalhadores do RGPS poderão se aposentar com 60% da média de todas as contribuições previdenciárias efetuadas desde julho de 1994. A cada ano a mais de contribuição, além do mínimo exigido, serão acrescidos dois pontos percentuais aos 60%. Assim, para ter direito à aposentadoria no valor de 100% da média de contribuições, as mulheres deverão contribuir por 35 anos e os homens, por 40 anos.</w:t>
      </w: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O valor das aposentadorias não será inferior a um salário mínimo nem poderá ultrapassar o teto do RGPS (atualmente R$ 5.839,45 por mês). O percentual do benefício recebido poderá ultrapassar 100% para mulheres que contribuírem por mais de 35 anos e para homens que contribuírem por mais de 40 anos – sempre limitado ao teto do RGPS.</w:t>
      </w:r>
    </w:p>
    <w:p w:rsidR="001F73D8" w:rsidRPr="00660A9E" w:rsidRDefault="001F73D8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A Nova Previdência muda a forma de calcular a aposentadoria. O valor será definido levando em consideração todas as contribuições feitas pelo segurado desde julho de 1994. Atualmente, o cálculo é feito com base nas 80% maiores contribuições efetuadas nesse mesmo período.</w:t>
      </w:r>
    </w:p>
    <w:p w:rsidR="001F73D8" w:rsidRPr="00660A9E" w:rsidRDefault="001F73D8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Para os servidores públicos federais que ingressaram na carreira a partir de 1° de janeiro de 2004, o cálculo do benefício será semelhante ao do Regime Geral </w:t>
      </w:r>
      <w:r w:rsidRPr="00660A9E">
        <w:rPr>
          <w:rFonts w:ascii="Arial" w:eastAsia="Times New Roman" w:hAnsi="Arial" w:cs="Arial"/>
          <w:color w:val="666666"/>
          <w:lang w:eastAsia="pt-BR"/>
        </w:rPr>
        <w:t>−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 com 20 anos de contribui</w:t>
      </w:r>
      <w:r w:rsidRPr="00660A9E">
        <w:rPr>
          <w:rFonts w:ascii="Lucida Sans" w:eastAsia="Times New Roman" w:hAnsi="Lucida Sans" w:cs="Lucida Sans"/>
          <w:color w:val="666666"/>
          <w:lang w:eastAsia="pt-BR"/>
        </w:rPr>
        <w:t>çã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o, 60% da média de todas as contribuições, aumentando dois pontos percentuais a cada ano a mais de contribuição (tanto homens quanto mulheres). Já para os que ingressaram no serviço público até 31 de dezembro de 2003, ficará mantida a integralidade </w:t>
      </w:r>
      <w:r w:rsidRPr="00660A9E">
        <w:rPr>
          <w:rFonts w:ascii="Arial" w:eastAsia="Times New Roman" w:hAnsi="Arial" w:cs="Arial"/>
          <w:color w:val="666666"/>
          <w:lang w:eastAsia="pt-BR"/>
        </w:rPr>
        <w:t>−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 o valor da 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lastRenderedPageBreak/>
        <w:t>aposentadoria será o do último salário, desde que atendidos os requisitos das regras de transição.</w:t>
      </w:r>
    </w:p>
    <w:p w:rsidR="001F73D8" w:rsidRPr="00660A9E" w:rsidRDefault="001F73D8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bCs/>
          <w:color w:val="666666"/>
          <w:lang w:eastAsia="pt-BR"/>
        </w:rPr>
        <w:t>Alíquotas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  <w:t>As alíquotas passarão a ser progressivas, ou seja, quem ganha mais irá pagar mais.</w:t>
      </w:r>
    </w:p>
    <w:p w:rsidR="001F73D8" w:rsidRPr="00660A9E" w:rsidRDefault="001F73D8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1F73D8" w:rsidRPr="001F73D8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color w:val="666666"/>
          <w:lang w:eastAsia="pt-BR"/>
        </w:rPr>
        <w:t>Para o RGPS</w:t>
      </w:r>
      <w:r w:rsidR="001F73D8">
        <w:rPr>
          <w:rFonts w:ascii="Lucida Sans" w:eastAsia="Times New Roman" w:hAnsi="Lucida Sans" w:cs="Times New Roman"/>
          <w:b/>
          <w:color w:val="666666"/>
          <w:lang w:eastAsia="pt-BR"/>
        </w:rPr>
        <w:t>:</w:t>
      </w:r>
    </w:p>
    <w:p w:rsidR="001F73D8" w:rsidRPr="00660A9E" w:rsidRDefault="001F73D8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tbl>
      <w:tblPr>
        <w:tblStyle w:val="Tabelacomgrade"/>
        <w:tblW w:w="3151" w:type="pct"/>
        <w:tblLook w:val="04A0" w:firstRow="1" w:lastRow="0" w:firstColumn="1" w:lastColumn="0" w:noHBand="0" w:noVBand="1"/>
      </w:tblPr>
      <w:tblGrid>
        <w:gridCol w:w="5495"/>
      </w:tblGrid>
      <w:tr w:rsidR="001F73D8" w:rsidRPr="001F73D8" w:rsidTr="001F73D8">
        <w:tc>
          <w:tcPr>
            <w:tcW w:w="5000" w:type="pct"/>
          </w:tcPr>
          <w:p w:rsidR="001F73D8" w:rsidRPr="001F73D8" w:rsidRDefault="001F73D8" w:rsidP="00C27B11">
            <w:pPr>
              <w:shd w:val="clear" w:color="auto" w:fill="FFFFFF"/>
              <w:jc w:val="both"/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</w:pPr>
            <w:r w:rsidRPr="00660A9E"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  <w:t>Até um salário mínimo: 7,5%</w:t>
            </w:r>
          </w:p>
        </w:tc>
      </w:tr>
      <w:tr w:rsidR="001F73D8" w:rsidRPr="001F73D8" w:rsidTr="001F73D8">
        <w:tc>
          <w:tcPr>
            <w:tcW w:w="5000" w:type="pct"/>
          </w:tcPr>
          <w:p w:rsidR="001F73D8" w:rsidRPr="001F73D8" w:rsidRDefault="001F73D8" w:rsidP="00C27B11">
            <w:pPr>
              <w:shd w:val="clear" w:color="auto" w:fill="FFFFFF"/>
              <w:jc w:val="both"/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</w:pPr>
            <w:r w:rsidRPr="00660A9E"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  <w:br/>
              <w:t>Entre um salário mínimo e R$ 2 mil: 9%</w:t>
            </w:r>
          </w:p>
        </w:tc>
      </w:tr>
      <w:tr w:rsidR="001F73D8" w:rsidRPr="001F73D8" w:rsidTr="001F73D8">
        <w:tc>
          <w:tcPr>
            <w:tcW w:w="5000" w:type="pct"/>
          </w:tcPr>
          <w:p w:rsidR="001F73D8" w:rsidRPr="001F73D8" w:rsidRDefault="001F73D8" w:rsidP="00C27B11">
            <w:pPr>
              <w:shd w:val="clear" w:color="auto" w:fill="FFFFFF"/>
              <w:jc w:val="both"/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</w:pPr>
            <w:r w:rsidRPr="00660A9E"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  <w:br/>
              <w:t>Entre R$ 2 mil e R$ 3 mil: 12%</w:t>
            </w:r>
          </w:p>
        </w:tc>
      </w:tr>
      <w:tr w:rsidR="001F73D8" w:rsidRPr="001F73D8" w:rsidTr="001F73D8">
        <w:tc>
          <w:tcPr>
            <w:tcW w:w="5000" w:type="pct"/>
          </w:tcPr>
          <w:p w:rsidR="001F73D8" w:rsidRPr="001F73D8" w:rsidRDefault="001F73D8" w:rsidP="00C27B11">
            <w:pPr>
              <w:shd w:val="clear" w:color="auto" w:fill="FFFFFF"/>
              <w:jc w:val="both"/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</w:pPr>
            <w:r w:rsidRPr="00660A9E"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  <w:br/>
              <w:t>Entre R$ 3 mil e o teto do RGPS: 14%</w:t>
            </w:r>
          </w:p>
        </w:tc>
      </w:tr>
    </w:tbl>
    <w:p w:rsidR="001F73D8" w:rsidRPr="00660A9E" w:rsidRDefault="001F73D8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1F73D8" w:rsidRPr="001F73D8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color w:val="666666"/>
          <w:lang w:eastAsia="pt-BR"/>
        </w:rPr>
        <w:t>Para servidores públicos federais no RPPS da União</w:t>
      </w:r>
      <w:r w:rsidR="001F73D8">
        <w:rPr>
          <w:rFonts w:ascii="Lucida Sans" w:eastAsia="Times New Roman" w:hAnsi="Lucida Sans" w:cs="Times New Roman"/>
          <w:b/>
          <w:color w:val="666666"/>
          <w:lang w:eastAsia="pt-BR"/>
        </w:rPr>
        <w:t>:</w:t>
      </w:r>
    </w:p>
    <w:p w:rsidR="001F73D8" w:rsidRP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color w:val="666666"/>
          <w:lang w:eastAsia="pt-BR"/>
        </w:rPr>
        <w:br/>
      </w:r>
    </w:p>
    <w:tbl>
      <w:tblPr>
        <w:tblStyle w:val="Tabelacomgrade"/>
        <w:tblW w:w="3151" w:type="pct"/>
        <w:tblLook w:val="04A0" w:firstRow="1" w:lastRow="0" w:firstColumn="1" w:lastColumn="0" w:noHBand="0" w:noVBand="1"/>
      </w:tblPr>
      <w:tblGrid>
        <w:gridCol w:w="5495"/>
      </w:tblGrid>
      <w:tr w:rsidR="001F73D8" w:rsidRPr="001F73D8" w:rsidTr="001F73D8">
        <w:tc>
          <w:tcPr>
            <w:tcW w:w="5000" w:type="pct"/>
          </w:tcPr>
          <w:p w:rsidR="001F73D8" w:rsidRPr="001F73D8" w:rsidRDefault="001F73D8" w:rsidP="00A75E63">
            <w:pPr>
              <w:shd w:val="clear" w:color="auto" w:fill="FFFFFF"/>
              <w:jc w:val="both"/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</w:pPr>
            <w:r w:rsidRPr="00660A9E"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  <w:t>Até um salário mínimo: 7,5%</w:t>
            </w:r>
          </w:p>
        </w:tc>
      </w:tr>
      <w:tr w:rsidR="001F73D8" w:rsidRPr="001F73D8" w:rsidTr="001F73D8">
        <w:tc>
          <w:tcPr>
            <w:tcW w:w="5000" w:type="pct"/>
          </w:tcPr>
          <w:p w:rsidR="001F73D8" w:rsidRPr="001F73D8" w:rsidRDefault="001F73D8" w:rsidP="00A75E63">
            <w:pPr>
              <w:shd w:val="clear" w:color="auto" w:fill="FFFFFF"/>
              <w:jc w:val="both"/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</w:pPr>
            <w:r w:rsidRPr="00660A9E"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  <w:br/>
              <w:t>Entre um salário mínimo e R$ 2 mil: 9%</w:t>
            </w:r>
          </w:p>
        </w:tc>
      </w:tr>
      <w:tr w:rsidR="001F73D8" w:rsidRPr="001F73D8" w:rsidTr="001F73D8">
        <w:tc>
          <w:tcPr>
            <w:tcW w:w="5000" w:type="pct"/>
          </w:tcPr>
          <w:p w:rsidR="001F73D8" w:rsidRPr="001F73D8" w:rsidRDefault="001F73D8" w:rsidP="00A75E63">
            <w:pPr>
              <w:shd w:val="clear" w:color="auto" w:fill="FFFFFF"/>
              <w:jc w:val="both"/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</w:pPr>
            <w:r w:rsidRPr="00660A9E"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  <w:br/>
              <w:t>Entre R$ 2 mil e R$ 3 mil: 12%</w:t>
            </w:r>
          </w:p>
        </w:tc>
      </w:tr>
      <w:tr w:rsidR="001F73D8" w:rsidRPr="001F73D8" w:rsidTr="001F73D8">
        <w:tc>
          <w:tcPr>
            <w:tcW w:w="5000" w:type="pct"/>
          </w:tcPr>
          <w:p w:rsidR="001F73D8" w:rsidRPr="001F73D8" w:rsidRDefault="001F73D8" w:rsidP="00A75E63">
            <w:pPr>
              <w:shd w:val="clear" w:color="auto" w:fill="FFFFFF"/>
              <w:jc w:val="both"/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</w:pPr>
            <w:r w:rsidRPr="00660A9E"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  <w:br/>
              <w:t>Entre R$ 3 mil e o teto do RGPS: 14%</w:t>
            </w:r>
          </w:p>
        </w:tc>
      </w:tr>
      <w:tr w:rsidR="001F73D8" w:rsidRPr="001F73D8" w:rsidTr="001F73D8">
        <w:tc>
          <w:tcPr>
            <w:tcW w:w="5000" w:type="pct"/>
          </w:tcPr>
          <w:p w:rsidR="001F73D8" w:rsidRPr="001F73D8" w:rsidRDefault="001F73D8" w:rsidP="00A75E63">
            <w:pPr>
              <w:shd w:val="clear" w:color="auto" w:fill="FFFFFF"/>
              <w:jc w:val="both"/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</w:pPr>
            <w:r w:rsidRPr="00660A9E"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  <w:br/>
              <w:t>Entre o teto do RGPS e R$ 10 mil: 14,5%</w:t>
            </w:r>
          </w:p>
        </w:tc>
      </w:tr>
      <w:tr w:rsidR="001F73D8" w:rsidRPr="001F73D8" w:rsidTr="001F73D8">
        <w:tc>
          <w:tcPr>
            <w:tcW w:w="5000" w:type="pct"/>
          </w:tcPr>
          <w:p w:rsidR="001F73D8" w:rsidRPr="001F73D8" w:rsidRDefault="001F73D8" w:rsidP="00A75E63">
            <w:pPr>
              <w:shd w:val="clear" w:color="auto" w:fill="FFFFFF"/>
              <w:jc w:val="both"/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</w:pPr>
            <w:r w:rsidRPr="00660A9E"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  <w:br/>
              <w:t>Entre R$ 10 mil e R$ 20 mil: 16,5%</w:t>
            </w:r>
          </w:p>
        </w:tc>
      </w:tr>
      <w:tr w:rsidR="001F73D8" w:rsidRPr="001F73D8" w:rsidTr="001F73D8">
        <w:tc>
          <w:tcPr>
            <w:tcW w:w="5000" w:type="pct"/>
          </w:tcPr>
          <w:p w:rsidR="001F73D8" w:rsidRPr="001F73D8" w:rsidRDefault="001F73D8" w:rsidP="00A75E63">
            <w:pPr>
              <w:shd w:val="clear" w:color="auto" w:fill="FFFFFF"/>
              <w:jc w:val="both"/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</w:pPr>
            <w:r w:rsidRPr="00660A9E"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  <w:br/>
              <w:t>Entre R$ 20 mil e o teto constitucional: 19%</w:t>
            </w:r>
          </w:p>
        </w:tc>
      </w:tr>
      <w:tr w:rsidR="001F73D8" w:rsidRPr="00660A9E" w:rsidTr="001F73D8">
        <w:tc>
          <w:tcPr>
            <w:tcW w:w="5000" w:type="pct"/>
          </w:tcPr>
          <w:p w:rsidR="001F73D8" w:rsidRPr="001F73D8" w:rsidRDefault="001F73D8" w:rsidP="00A75E63">
            <w:pPr>
              <w:shd w:val="clear" w:color="auto" w:fill="FFFFFF"/>
              <w:jc w:val="both"/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</w:pPr>
            <w:r w:rsidRPr="00660A9E">
              <w:rPr>
                <w:rFonts w:ascii="Lucida Sans" w:eastAsia="Times New Roman" w:hAnsi="Lucida Sans" w:cs="Times New Roman"/>
                <w:b/>
                <w:color w:val="666666"/>
                <w:lang w:eastAsia="pt-BR"/>
              </w:rPr>
              <w:br/>
              <w:t>Acima do teto constitucional: 22%</w:t>
            </w:r>
          </w:p>
        </w:tc>
      </w:tr>
    </w:tbl>
    <w:p w:rsidR="00660A9E" w:rsidRPr="00C5388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color w:val="666666"/>
          <w:lang w:eastAsia="pt-BR"/>
        </w:rPr>
        <w:t>As novas alíquotas somente entrarão em vigor no quarto mês subsequente ao da data da publicação da emenda.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 </w:t>
      </w:r>
      <w:r w:rsidR="00C5388E">
        <w:rPr>
          <w:rFonts w:ascii="Lucida Sans" w:eastAsia="Times New Roman" w:hAnsi="Lucida Sans" w:cs="Times New Roman"/>
          <w:color w:val="666666"/>
          <w:lang w:eastAsia="pt-BR"/>
        </w:rPr>
        <w:t xml:space="preserve"> </w:t>
      </w:r>
      <w:r w:rsidR="00C5388E" w:rsidRPr="00C5388E">
        <w:rPr>
          <w:rFonts w:ascii="Lucida Sans" w:eastAsia="Times New Roman" w:hAnsi="Lucida Sans" w:cs="Times New Roman"/>
          <w:b/>
          <w:color w:val="666666"/>
          <w:lang w:eastAsia="pt-BR"/>
        </w:rPr>
        <w:t>Como a EC foi</w:t>
      </w:r>
      <w:r w:rsidRPr="00660A9E">
        <w:rPr>
          <w:rFonts w:ascii="Lucida Sans" w:eastAsia="Times New Roman" w:hAnsi="Lucida Sans" w:cs="Times New Roman"/>
          <w:b/>
          <w:color w:val="666666"/>
          <w:lang w:eastAsia="pt-BR"/>
        </w:rPr>
        <w:t xml:space="preserve"> publicada em novembro, as novas alíquotas valerão a partir de março.</w:t>
      </w:r>
    </w:p>
    <w:p w:rsidR="001F73D8" w:rsidRPr="00660A9E" w:rsidRDefault="001F73D8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Importante ressaltar que as alíquotas passarão a incidir sobre cada faixa de remuneração, de forma semelhante ao cálculo do Imposto de Renda. Assim, 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lastRenderedPageBreak/>
        <w:t>por exemplo, um trabalhador que ganha exatamente o teto do RGPS (R$ 5.839,35) pagará uma alíquota efetiva total de 11,69%.</w:t>
      </w:r>
    </w:p>
    <w:p w:rsidR="001F73D8" w:rsidRPr="00660A9E" w:rsidRDefault="001F73D8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C5388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bCs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bCs/>
          <w:color w:val="666666"/>
          <w:lang w:eastAsia="pt-BR"/>
        </w:rPr>
        <w:t>Pensão por morte</w:t>
      </w:r>
    </w:p>
    <w:p w:rsidR="00C5388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C5388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A Nova Previdência mudará as regras para quem vai receber pensão por morte. O pagamento será de 50% do valor da aposentadoria acrescido de 10% para cada dependente:</w:t>
      </w:r>
    </w:p>
    <w:p w:rsidR="00C5388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  <w:t xml:space="preserve">• 1 dependente: 60% da aposentadoria </w:t>
      </w:r>
      <w:r w:rsidR="00E656BF" w:rsidRPr="00660A9E">
        <w:rPr>
          <w:rFonts w:ascii="Lucida Sans" w:eastAsia="Times New Roman" w:hAnsi="Lucida Sans" w:cs="Times New Roman"/>
          <w:color w:val="666666"/>
          <w:lang w:eastAsia="pt-BR"/>
        </w:rPr>
        <w:t>do (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a) </w:t>
      </w:r>
      <w:r w:rsidR="00E656BF" w:rsidRPr="00660A9E">
        <w:rPr>
          <w:rFonts w:ascii="Lucida Sans" w:eastAsia="Times New Roman" w:hAnsi="Lucida Sans" w:cs="Times New Roman"/>
          <w:color w:val="666666"/>
          <w:lang w:eastAsia="pt-BR"/>
        </w:rPr>
        <w:t>falecido (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>a)</w:t>
      </w:r>
    </w:p>
    <w:p w:rsidR="00C5388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  <w:t>• 2 dependentes: 70%</w:t>
      </w:r>
    </w:p>
    <w:p w:rsidR="00C5388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  <w:t>• 3 dependentes: 80%</w:t>
      </w:r>
    </w:p>
    <w:p w:rsidR="00C5388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  <w:t>• 4 dependentes: 90%</w:t>
      </w: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  <w:t>• 5 ou mais dependentes: 100%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Para os dependentes inválidos ou com deficiência grave, o pagamento será de 100% do valor da aposentadoria no Regime Geral, sem exceder o teto. No caso de servidores públicos da União, do valor que exceder o teto será pago 50% mais 10% por dependente.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Cônjuges ou companheiros de policiais e de agentes penitenciários que morrerem por agressão sofrida em decorrência do trabalho terão direito à pensão integral – valor correspondente à remuneração do cargo.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C5388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bCs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bCs/>
          <w:color w:val="666666"/>
          <w:lang w:eastAsia="pt-BR"/>
        </w:rPr>
        <w:t>Limite e acúmulo de benefício</w:t>
      </w: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  <w:t>Nos casos em que a lei permitir acúmulo de benefício, será pago 100% do benefício de maior valor a que a pessoa tem direito, mais um percentual da soma dos demais. Esse percentual vai variar de acordo com o valor do benefício: 100% do valor até um salário mínimo; 60% do valor que estiver entre um e dois salários mínimos; 40% do que estiver entre dois e três salários; 20% entre três e quatro salários mínimos; e 10% do que ultrapassar quatro salários mínimos.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Exemplo: uma mulher que receba aposentadoria de R$ 2.500 mensais e fique viúva do marido que recebia aposentadoria de R$ 3.000. A viúva é a única dependente. Nesse caso, a aposentada continuaria recebendo integralmente a 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lastRenderedPageBreak/>
        <w:t>aposentadoria de R$ 2.500 (benefício de maior valor). Aplicando-se a nova regra da pensão por morte, seu valor passaria a ser de R$ 1.800,00 (60% do valor da aposentadoria do marido). Sobre esse valor são aplicadas as cotas de acúmulo do benefício, conforme explicado abaixo: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1 – Aposentadoria: R$ 2.500,00 (benefício mais vantajoso, pois tem valor maior que a pensão; continuará recebendo integral)</w:t>
      </w:r>
      <w:r w:rsidR="00C5388E">
        <w:rPr>
          <w:rFonts w:ascii="Lucida Sans" w:eastAsia="Times New Roman" w:hAnsi="Lucida Sans" w:cs="Times New Roman"/>
          <w:color w:val="666666"/>
          <w:lang w:eastAsia="pt-BR"/>
        </w:rPr>
        <w:t>;</w:t>
      </w: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2 – Pensão: R$ 3.000,00 x 60% = R$ 1.800,00 </w:t>
      </w:r>
      <w:r w:rsidRPr="00660A9E">
        <w:rPr>
          <w:rFonts w:ascii="Cambria Math" w:eastAsia="Times New Roman" w:hAnsi="Cambria Math" w:cs="Cambria Math"/>
          <w:color w:val="666666"/>
          <w:lang w:eastAsia="pt-BR"/>
        </w:rPr>
        <w:t>⇒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 R$ 998,00 (100% do sal</w:t>
      </w:r>
      <w:r w:rsidRPr="00660A9E">
        <w:rPr>
          <w:rFonts w:ascii="Lucida Sans" w:eastAsia="Times New Roman" w:hAnsi="Lucida Sans" w:cs="Trebuchet MS"/>
          <w:color w:val="666666"/>
          <w:lang w:eastAsia="pt-BR"/>
        </w:rPr>
        <w:t>á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>rio m</w:t>
      </w:r>
      <w:r w:rsidRPr="00660A9E">
        <w:rPr>
          <w:rFonts w:ascii="Lucida Sans" w:eastAsia="Times New Roman" w:hAnsi="Lucida Sans" w:cs="Trebuchet MS"/>
          <w:color w:val="666666"/>
          <w:lang w:eastAsia="pt-BR"/>
        </w:rPr>
        <w:t>í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>nimo) + (R$ 802,00 x 60%) = R$ 998,00 + R$ 481,20 = R$ 1.479,20</w:t>
      </w:r>
      <w:r w:rsidR="00C5388E">
        <w:rPr>
          <w:rFonts w:ascii="Lucida Sans" w:eastAsia="Times New Roman" w:hAnsi="Lucida Sans" w:cs="Times New Roman"/>
          <w:color w:val="666666"/>
          <w:lang w:eastAsia="pt-BR"/>
        </w:rPr>
        <w:t>;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3 – </w:t>
      </w:r>
      <w:r w:rsidR="00C5388E">
        <w:rPr>
          <w:rFonts w:ascii="Lucida Sans" w:eastAsia="Times New Roman" w:hAnsi="Lucida Sans" w:cs="Times New Roman"/>
          <w:color w:val="666666"/>
          <w:lang w:eastAsia="pt-BR"/>
        </w:rPr>
        <w:t xml:space="preserve">Recebera 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>a somatória dos dois benefícios, R$ 3.979,20 (R$ 2.500,00 + R$ 1.479,20).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bCs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bCs/>
          <w:color w:val="666666"/>
          <w:lang w:eastAsia="pt-BR"/>
        </w:rPr>
        <w:t>REGRAS DE TRANSIÇÃO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A Nova Previdência também traz regras de transição para quem já está no mercado de trabalho, e é possível escolher a forma mais vantajosa de aposentadoria.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No Regime Geral de Previdência Social, haverá cinco regras de transição: quatro por tempo de contribuição e uma por idade. Para os servidores públicos da União, haverá duas opções de transição.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Pr="00C5388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color w:val="666666"/>
          <w:lang w:eastAsia="pt-BR"/>
        </w:rPr>
        <w:t>RGPS: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C5388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bCs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bCs/>
          <w:color w:val="666666"/>
          <w:lang w:eastAsia="pt-BR"/>
        </w:rPr>
        <w:t>Transição por sistema de pontos</w:t>
      </w: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  <w:t>Essa regra soma o tempo de contribuição com a idade. Mulheres poderão se aposentar a partir de 86 pontos e homens, de 96, já em 2019. O tempo mínimo de contribuição de 30 anos, para elas, e de 35 anos, para eles, deverá ser respeitado. A cada ano será exigido um ponto a mais, chegando a 105 pontos para os homens, em 2028, e 100 pontos para as mulheres, em 2033.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O valor do benefício seguirá a regra geral de cálculo da Nova Previdência: 60% da média de todas as contribuições registradas desde julho de 1994 mais dois pontos percentuais a cada ano de contribuição que exceder 15 anos, para as mulheres, e 20 anos, para os homens.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Os professores da educação básica que comprovarem, exclusivamente, exercício da função de magistério na educação infantil e nos ensinos fundamental e médio terão redução de cinco pontos. Assim, de imediato, as 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lastRenderedPageBreak/>
        <w:t>professoras poderão pedir aposentadoria a partir da soma de 81 pontos, desde que tenham o mínimo de 25 anos de contribuição, e os professores, com 91 pontos e, no mínimo, 30 anos de contribuição. Os pontos subirão até 92, para elas, e até 100, para eles.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C5388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bCs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bCs/>
          <w:color w:val="666666"/>
          <w:lang w:eastAsia="pt-BR"/>
        </w:rPr>
        <w:t>Transição por tempo de contribuição e idade mínima</w:t>
      </w: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  <w:t>Por essa regra, as mulheres poderão se aposentar aos 56 anos, desde que tenham pelo menos 30 anos de contribuição, em 2019. Já para os homens, a idade mínima será de 61 anos e 35 anos de contribuição. A idade mínima exigida subirá seis meses a cada ano, até chegar aos 62 anos de idade para elas, em 2031, e aos 65 anos de idade para eles, em 2027.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O valor do benefício seguirá a regra geral de cálculo da Nova Previdência: 60% da média de todas as contribuições efetuadas desde julho de 1994 mais dois pontos percentuais a cada ano de contribuição que exceder 15 anos, para as mulheres, e 20 anos, para os homens.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Os professores da educação básica que comprovarem, exclusivamente, exercício da função de magistério na educação infantil e nos ensinos fundamental e médio terão redução de cinco anos na idade e no tempo de contribuição.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C5388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bCs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bCs/>
          <w:color w:val="666666"/>
          <w:lang w:eastAsia="pt-BR"/>
        </w:rPr>
        <w:t xml:space="preserve">Transição com fator previdenciário </w:t>
      </w:r>
      <w:r w:rsidRPr="00660A9E">
        <w:rPr>
          <w:rFonts w:ascii="Arial" w:eastAsia="Times New Roman" w:hAnsi="Arial" w:cs="Arial"/>
          <w:b/>
          <w:bCs/>
          <w:color w:val="666666"/>
          <w:lang w:eastAsia="pt-BR"/>
        </w:rPr>
        <w:t>−</w:t>
      </w:r>
      <w:r w:rsidRPr="00660A9E">
        <w:rPr>
          <w:rFonts w:ascii="Lucida Sans" w:eastAsia="Times New Roman" w:hAnsi="Lucida Sans" w:cs="Times New Roman"/>
          <w:b/>
          <w:bCs/>
          <w:color w:val="666666"/>
          <w:lang w:eastAsia="pt-BR"/>
        </w:rPr>
        <w:t xml:space="preserve"> ped</w:t>
      </w:r>
      <w:r w:rsidRPr="00660A9E">
        <w:rPr>
          <w:rFonts w:ascii="Lucida Sans" w:eastAsia="Times New Roman" w:hAnsi="Lucida Sans" w:cs="Lucida Sans"/>
          <w:b/>
          <w:bCs/>
          <w:color w:val="666666"/>
          <w:lang w:eastAsia="pt-BR"/>
        </w:rPr>
        <w:t>á</w:t>
      </w:r>
      <w:r w:rsidRPr="00660A9E">
        <w:rPr>
          <w:rFonts w:ascii="Lucida Sans" w:eastAsia="Times New Roman" w:hAnsi="Lucida Sans" w:cs="Times New Roman"/>
          <w:b/>
          <w:bCs/>
          <w:color w:val="666666"/>
          <w:lang w:eastAsia="pt-BR"/>
        </w:rPr>
        <w:t>gio de 50%</w:t>
      </w: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  <w:t>Segundo essa regra, as mulheres com mais de 28 anos de contribuição e os homens com mais de 33 anos de contribuição poderão optar pela aposentadoria sem idade mínima, desde que cumpram um pedágio de 50% sobre o tempo mínimo que faltava para se aposentar (30 anos para elas e 35 anos para eles). Por exemplo, uma mulher com 29 anos de contribuição poderá se aposentar sem idade mínima, desde que contribua por mais um ano e meio (desse um ano e meio, um ano corresponde ao período que originalmente faltava para a aposentadoria; o meio ano adicional corresponde ao pedágio de 50%.)</w:t>
      </w:r>
      <w:r w:rsidR="00C5388E">
        <w:rPr>
          <w:rFonts w:ascii="Lucida Sans" w:eastAsia="Times New Roman" w:hAnsi="Lucida Sans" w:cs="Times New Roman"/>
          <w:color w:val="666666"/>
          <w:lang w:eastAsia="pt-BR"/>
        </w:rPr>
        <w:t>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O valor do benefício será calculado levando em consideração a média de todas as contribuições desde julho de 1994, sobre ela aplicando-se o fator previdenciário.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C5388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bCs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bCs/>
          <w:color w:val="666666"/>
          <w:lang w:eastAsia="pt-BR"/>
        </w:rPr>
        <w:t>Transição com idade mínima e pedágio de 100%</w:t>
      </w: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lastRenderedPageBreak/>
        <w:br/>
        <w:t>Essa regra estabelece uma idade mínima e um pedágio de 100% do tempo que faltava para atingir o mínimo exigido de contribuição (30 anos para elas e 35 anos para eles). Para mulheres, a idade mínima será de 57 anos e, para homens, de 60 anos. Por exemplo, uma mulher de 57 anos de idade e 28 anos de contribuição terá de trabalhar mais quatro anos (dois que faltavam para atingir o tempo mínimo de contribuição mais dois anos de pedágio), para requerer o benefício.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Para trabalhadores vinculados ao RGPS, o valor da aposentadoria será de 100% da média de todos os salários de contribuição desde julho de 1994.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Professores da educação básica que comprovarem, exclusivamente, exercício da função de magistério na educação infantil e nos ensinos fundamental e médio terão redução de cinco anos na idade e no tempo de contribuição (52 anos de idade e 25 de contribuição, para mulheres, e 55 anos de idade e 30 de contribuição, para homens).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C5388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bCs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bCs/>
          <w:color w:val="666666"/>
          <w:lang w:eastAsia="pt-BR"/>
        </w:rPr>
        <w:t>Transição – Aposentadoria por idade (RGPS)</w:t>
      </w: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  <w:t>A regra da aposentadoria por idade exige idade mínima de 65 anos para homens. Ou seja, no caso deles, nada muda. Para as mulheres, a idade mínima começa em 60 anos, em 2019, e sobe seis meses a cada ano, até chegar a 62 anos em 2023. Em ambos os casos é exigido tempo de contribuição mínima de 15 anos.</w:t>
      </w:r>
    </w:p>
    <w:p w:rsidR="00C5388E" w:rsidRPr="00660A9E" w:rsidRDefault="00C5388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P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O valor do benefício seguirá a regra geral de cálculo da Nova Previdência: 60% da média de todas as contribuições mais dois pontos percentuais a cada ano de contribuição que exceder 15 anos, para mulheres, e 20 anos, para homens.</w:t>
      </w: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RPPS da União – Servidores Federais:</w:t>
      </w:r>
    </w:p>
    <w:p w:rsidR="00E6649F" w:rsidRPr="00660A9E" w:rsidRDefault="00E6649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E6649F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bCs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bCs/>
          <w:color w:val="666666"/>
          <w:lang w:eastAsia="pt-BR"/>
        </w:rPr>
        <w:t>Transição por sistema de pontos e idade mínima</w:t>
      </w: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  <w:t>Servidores federais também poderão se aposentar pelo sistema de pontos, que exigirá 86 pontos para mulheres e 96 pontos para homens (em 2019), desde que cumpram também o requisito de idade mínima, que começa em 56 anos para as mulheres e em 61 anos para os homens, em 2019 – passando para 57 e 62 anos, respectivamente, em 2022. A cada ano será exigido mais um ponto, chegando a 105 para os homens, em 2028, e a 100 para as mulheres, em 2033.</w:t>
      </w:r>
    </w:p>
    <w:p w:rsidR="00E6649F" w:rsidRPr="00660A9E" w:rsidRDefault="00E6649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lastRenderedPageBreak/>
        <w:t>O tempo de contribuição mínimo será de 30 anos, para servidoras, e de 35 anos para servidores. Todos deverão ter, pelo menos, 20 anos de serviço público e 5 anos no cargo em que se dará a aposentadoria.</w:t>
      </w:r>
    </w:p>
    <w:p w:rsidR="00E6649F" w:rsidRPr="00660A9E" w:rsidRDefault="00E6649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Poderão se aposentar com o valor integral do último salário na ativa as mulheres que tiverem completado 62 anos e os homens a partir dos 65 anos, desde que tenham ingressado na carreira até 31 de dezembro de 2003. Para quem tiver ingressado a partir de 2004, o cálculo seguirá a regra geral da Nova Previdência: 60% da média de todas as contribuições mais dois pontos percentuais a cada ano de contribuição que exceder 20 anos (tanto homens quanto mulheres).</w:t>
      </w:r>
    </w:p>
    <w:p w:rsidR="00E6649F" w:rsidRPr="00660A9E" w:rsidRDefault="00E6649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Professores da educação básica terão redução de cinco anos na idade e no tempo de contribuição, e a pontuação partirá de 81 pontos para a professora e de 91 para o professor, aumentando um ponto, até atingir 92 para mulheres e 100 para homens. Para isso, esses professores deverão comprovar, exclusivamente, tempo de efetivo exercício das funções de magistério na educação infantil ou nos ensinos fundamental e médio.</w:t>
      </w:r>
    </w:p>
    <w:p w:rsidR="00E6649F" w:rsidRPr="00660A9E" w:rsidRDefault="00E6649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E6649F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bCs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b/>
          <w:bCs/>
          <w:color w:val="666666"/>
          <w:lang w:eastAsia="pt-BR"/>
        </w:rPr>
        <w:t>Transição com idade mínima e pedágio de 100%</w:t>
      </w: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br/>
        <w:t>Essa regra estabelece uma idade mínima e um pedágio de 100% do tempo que faltar para atingir o tempo mínimo de contribuição (30 anos para elas e 35 anos para eles). Para servidoras, a idade mínima será de 57 anos e para os servidores, de 60 anos. Também será necessário comprovar 20 anos no serviço público e 5 anos no cargo em que se dará a aposentadoria. O benefício será equivalente à última remuneração, para quem tiver ingressado na carreira até 31 de dezembro de 2003, ou a 100% da média de todos os salários desde julho de 1994, para os que ingressaram a partir de 2004.</w:t>
      </w:r>
    </w:p>
    <w:p w:rsidR="00E6649F" w:rsidRPr="00660A9E" w:rsidRDefault="00E6649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Professores da educação básica que comprovarem, exclusivamente, exercício da função de magistério na educação infantil ou no ensino fundamental e médio terão redução de cinco anos na idade e no tempo de contribuição.</w:t>
      </w:r>
    </w:p>
    <w:p w:rsidR="00E6649F" w:rsidRPr="00660A9E" w:rsidRDefault="00E6649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sz w:val="16"/>
          <w:szCs w:val="16"/>
          <w:lang w:eastAsia="pt-BR"/>
        </w:rPr>
      </w:pPr>
      <w:r w:rsidRPr="00660A9E">
        <w:rPr>
          <w:rFonts w:ascii="Lucida Sans" w:eastAsia="Times New Roman" w:hAnsi="Lucida Sans" w:cs="Times New Roman"/>
          <w:b/>
          <w:color w:val="666666"/>
          <w:sz w:val="16"/>
          <w:szCs w:val="16"/>
          <w:lang w:eastAsia="pt-BR"/>
        </w:rPr>
        <w:t>FONTE: Secretaria de Previdência</w:t>
      </w:r>
    </w:p>
    <w:p w:rsidR="00E6649F" w:rsidRPr="00660A9E" w:rsidRDefault="00E6649F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sz w:val="16"/>
          <w:szCs w:val="16"/>
          <w:lang w:eastAsia="pt-BR"/>
        </w:rPr>
      </w:pPr>
    </w:p>
    <w:p w:rsidR="00660A9E" w:rsidRPr="00E6649F" w:rsidRDefault="00660A9E" w:rsidP="00E6649F">
      <w:pPr>
        <w:jc w:val="center"/>
        <w:rPr>
          <w:rFonts w:ascii="Lucida Sans" w:hAnsi="Lucida Sans"/>
          <w:b/>
          <w:color w:val="C00000"/>
          <w:sz w:val="24"/>
          <w:szCs w:val="24"/>
          <w:u w:val="single"/>
        </w:rPr>
      </w:pPr>
      <w:r w:rsidRPr="00E6649F">
        <w:rPr>
          <w:rFonts w:ascii="Lucida Sans" w:hAnsi="Lucida Sans" w:cs="Helvetica"/>
          <w:b/>
          <w:color w:val="C00000"/>
          <w:sz w:val="24"/>
          <w:szCs w:val="24"/>
          <w:u w:val="single"/>
          <w:shd w:val="clear" w:color="auto" w:fill="FFFFFF"/>
        </w:rPr>
        <w:t>Novas regras do Salário-família</w:t>
      </w:r>
    </w:p>
    <w:p w:rsidR="00660A9E" w:rsidRPr="00660A9E" w:rsidRDefault="00660A9E" w:rsidP="00660A9E">
      <w:pPr>
        <w:shd w:val="clear" w:color="auto" w:fill="FFFFFF"/>
        <w:spacing w:after="150" w:line="240" w:lineRule="auto"/>
        <w:jc w:val="both"/>
        <w:rPr>
          <w:rFonts w:ascii="Lucida Sans" w:eastAsia="Times New Roman" w:hAnsi="Lucida Sans" w:cs="Helvetica"/>
          <w:color w:val="595959" w:themeColor="text1" w:themeTint="A6"/>
          <w:lang w:eastAsia="pt-BR"/>
        </w:rPr>
      </w:pPr>
      <w:r w:rsidRPr="00660A9E">
        <w:rPr>
          <w:rFonts w:ascii="Lucida Sans" w:eastAsia="Times New Roman" w:hAnsi="Lucida Sans" w:cs="Helvetica"/>
          <w:color w:val="595959" w:themeColor="text1" w:themeTint="A6"/>
          <w:lang w:eastAsia="pt-BR"/>
        </w:rPr>
        <w:t>De acordo com a </w:t>
      </w:r>
      <w:hyperlink r:id="rId11" w:tgtFrame="_blank" w:history="1">
        <w:r w:rsidRPr="00E6649F">
          <w:rPr>
            <w:rFonts w:ascii="Lucida Sans" w:eastAsia="Times New Roman" w:hAnsi="Lucida Sans" w:cs="Helvetica"/>
            <w:b/>
            <w:color w:val="595959" w:themeColor="text1" w:themeTint="A6"/>
            <w:lang w:eastAsia="pt-BR"/>
          </w:rPr>
          <w:t>Emenda Constitucional nº 103</w:t>
        </w:r>
        <w:r w:rsidRPr="00E6649F">
          <w:rPr>
            <w:rFonts w:ascii="Lucida Sans" w:eastAsia="Times New Roman" w:hAnsi="Lucida Sans" w:cs="Helvetica"/>
            <w:color w:val="595959" w:themeColor="text1" w:themeTint="A6"/>
            <w:lang w:eastAsia="pt-BR"/>
          </w:rPr>
          <w:t xml:space="preserve">, </w:t>
        </w:r>
      </w:hyperlink>
      <w:r w:rsidR="00E6649F">
        <w:rPr>
          <w:rFonts w:ascii="Lucida Sans" w:eastAsia="Times New Roman" w:hAnsi="Lucida Sans" w:cs="Helvetica"/>
          <w:color w:val="595959" w:themeColor="text1" w:themeTint="A6"/>
          <w:lang w:eastAsia="pt-BR"/>
        </w:rPr>
        <w:t xml:space="preserve">art. 27, </w:t>
      </w:r>
      <w:r w:rsidRPr="00660A9E">
        <w:rPr>
          <w:rFonts w:ascii="Lucida Sans" w:eastAsia="Times New Roman" w:hAnsi="Lucida Sans" w:cs="Helvetica"/>
          <w:color w:val="595959" w:themeColor="text1" w:themeTint="A6"/>
          <w:lang w:eastAsia="pt-BR"/>
        </w:rPr>
        <w:t xml:space="preserve">até que lei discipline o acesso ao salário-família o benefício será concedido apenas àqueles que tenham </w:t>
      </w:r>
      <w:r w:rsidRPr="00660A9E">
        <w:rPr>
          <w:rFonts w:ascii="Lucida Sans" w:eastAsia="Times New Roman" w:hAnsi="Lucida Sans" w:cs="Helvetica"/>
          <w:b/>
          <w:color w:val="595959" w:themeColor="text1" w:themeTint="A6"/>
          <w:lang w:eastAsia="pt-BR"/>
        </w:rPr>
        <w:t>renda bruta mensal igual ou inferior a R$ 1.364,43</w:t>
      </w:r>
      <w:r w:rsidRPr="00660A9E">
        <w:rPr>
          <w:rFonts w:ascii="Lucida Sans" w:eastAsia="Times New Roman" w:hAnsi="Lucida Sans" w:cs="Helvetica"/>
          <w:color w:val="595959" w:themeColor="text1" w:themeTint="A6"/>
          <w:lang w:eastAsia="pt-BR"/>
        </w:rPr>
        <w:t xml:space="preserve"> (mil, trezentos e sessenta e quatro reais e quarenta e três centavos).</w:t>
      </w:r>
    </w:p>
    <w:p w:rsidR="00660A9E" w:rsidRPr="00660A9E" w:rsidRDefault="00660A9E" w:rsidP="00660A9E">
      <w:pPr>
        <w:shd w:val="clear" w:color="auto" w:fill="FFFFFF"/>
        <w:spacing w:after="150" w:line="240" w:lineRule="auto"/>
        <w:jc w:val="both"/>
        <w:rPr>
          <w:rFonts w:ascii="Lucida Sans" w:eastAsia="Times New Roman" w:hAnsi="Lucida Sans" w:cs="Helvetica"/>
          <w:color w:val="333333"/>
          <w:lang w:eastAsia="pt-BR"/>
        </w:rPr>
      </w:pPr>
      <w:r w:rsidRPr="00660A9E">
        <w:rPr>
          <w:rFonts w:ascii="Lucida Sans" w:eastAsia="Times New Roman" w:hAnsi="Lucida Sans" w:cs="Helvetica"/>
          <w:color w:val="333333"/>
          <w:lang w:eastAsia="pt-BR"/>
        </w:rPr>
        <w:lastRenderedPageBreak/>
        <w:t>Até que lei discipline</w:t>
      </w:r>
      <w:r w:rsidR="00E6649F">
        <w:rPr>
          <w:rFonts w:ascii="Lucida Sans" w:eastAsia="Times New Roman" w:hAnsi="Lucida Sans" w:cs="Helvetica"/>
          <w:color w:val="333333"/>
          <w:lang w:eastAsia="pt-BR"/>
        </w:rPr>
        <w:t xml:space="preserve">, </w:t>
      </w:r>
      <w:r w:rsidR="00E6649F" w:rsidRPr="00E6649F">
        <w:rPr>
          <w:rFonts w:ascii="Lucida Sans" w:eastAsia="Times New Roman" w:hAnsi="Lucida Sans" w:cs="Helvetica"/>
          <w:b/>
          <w:color w:val="333333"/>
          <w:lang w:eastAsia="pt-BR"/>
        </w:rPr>
        <w:t>o valor do salário-família</w:t>
      </w:r>
      <w:r w:rsidRPr="00660A9E">
        <w:rPr>
          <w:rFonts w:ascii="Lucida Sans" w:eastAsia="Times New Roman" w:hAnsi="Lucida Sans" w:cs="Helvetica"/>
          <w:b/>
          <w:color w:val="333333"/>
          <w:lang w:eastAsia="pt-BR"/>
        </w:rPr>
        <w:t xml:space="preserve"> será de R$ 46,54</w:t>
      </w:r>
      <w:r w:rsidRPr="00660A9E">
        <w:rPr>
          <w:rFonts w:ascii="Lucida Sans" w:eastAsia="Times New Roman" w:hAnsi="Lucida Sans" w:cs="Helvetica"/>
          <w:color w:val="333333"/>
          <w:lang w:eastAsia="pt-BR"/>
        </w:rPr>
        <w:t xml:space="preserve"> (quarenta e seis reais e cinquenta e quatro centavos).</w:t>
      </w:r>
      <w:r w:rsidR="00E6649F">
        <w:rPr>
          <w:rFonts w:ascii="Lucida Sans" w:eastAsia="Times New Roman" w:hAnsi="Lucida Sans" w:cs="Helvetica"/>
          <w:color w:val="333333"/>
          <w:lang w:eastAsia="pt-BR"/>
        </w:rPr>
        <w:t xml:space="preserve"> A</w:t>
      </w:r>
      <w:r w:rsidRPr="00660A9E">
        <w:rPr>
          <w:rFonts w:ascii="Lucida Sans" w:eastAsia="Times New Roman" w:hAnsi="Lucida Sans" w:cs="Helvetica"/>
          <w:color w:val="333333"/>
          <w:lang w:eastAsia="pt-BR"/>
        </w:rPr>
        <w:t>ssim, não existem mais duas faixas de remuneração para recebimento de benefício salário-família.</w:t>
      </w:r>
    </w:p>
    <w:p w:rsidR="00660A9E" w:rsidRPr="00660A9E" w:rsidRDefault="00660A9E" w:rsidP="00660A9E">
      <w:pPr>
        <w:shd w:val="clear" w:color="auto" w:fill="FFFFFF"/>
        <w:spacing w:after="150" w:line="240" w:lineRule="auto"/>
        <w:jc w:val="both"/>
        <w:rPr>
          <w:rFonts w:ascii="Lucida Sans" w:eastAsia="Times New Roman" w:hAnsi="Lucida Sans" w:cs="Helvetica"/>
          <w:color w:val="333333"/>
          <w:lang w:eastAsia="pt-BR"/>
        </w:rPr>
      </w:pPr>
      <w:r w:rsidRPr="00660A9E">
        <w:rPr>
          <w:rFonts w:ascii="Lucida Sans" w:eastAsia="Times New Roman" w:hAnsi="Lucida Sans" w:cs="Helvetica"/>
          <w:b/>
          <w:bCs/>
          <w:color w:val="333333"/>
          <w:lang w:eastAsia="pt-BR"/>
        </w:rPr>
        <w:t>SALÁRIO FAMÍLIA - A PARTIR DE 13 DE NOVEMBRO 2019</w:t>
      </w:r>
    </w:p>
    <w:tbl>
      <w:tblPr>
        <w:tblW w:w="5000" w:type="pct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9"/>
        <w:gridCol w:w="4185"/>
      </w:tblGrid>
      <w:tr w:rsidR="00660A9E" w:rsidRPr="00660A9E" w:rsidTr="00660A9E">
        <w:tc>
          <w:tcPr>
            <w:tcW w:w="2607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0A9E" w:rsidRPr="00660A9E" w:rsidRDefault="00660A9E" w:rsidP="00660A9E">
            <w:pPr>
              <w:spacing w:after="150" w:line="240" w:lineRule="auto"/>
              <w:jc w:val="both"/>
              <w:rPr>
                <w:rFonts w:ascii="Lucida Sans" w:eastAsia="Times New Roman" w:hAnsi="Lucida Sans" w:cs="Helvetica"/>
                <w:color w:val="333333"/>
                <w:lang w:eastAsia="pt-BR"/>
              </w:rPr>
            </w:pPr>
            <w:r w:rsidRPr="00660A9E">
              <w:rPr>
                <w:rFonts w:ascii="Lucida Sans" w:eastAsia="Times New Roman" w:hAnsi="Lucida Sans" w:cs="Helvetica"/>
                <w:b/>
                <w:bCs/>
                <w:color w:val="333333"/>
                <w:lang w:eastAsia="pt-BR"/>
              </w:rPr>
              <w:t>REMUNERAÇÃO DO SEGURADO</w:t>
            </w:r>
          </w:p>
        </w:tc>
        <w:tc>
          <w:tcPr>
            <w:tcW w:w="239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0A9E" w:rsidRPr="00660A9E" w:rsidRDefault="00660A9E" w:rsidP="00660A9E">
            <w:pPr>
              <w:spacing w:after="150" w:line="240" w:lineRule="auto"/>
              <w:jc w:val="both"/>
              <w:rPr>
                <w:rFonts w:ascii="Lucida Sans" w:eastAsia="Times New Roman" w:hAnsi="Lucida Sans" w:cs="Helvetica"/>
                <w:color w:val="333333"/>
                <w:lang w:eastAsia="pt-BR"/>
              </w:rPr>
            </w:pPr>
            <w:r w:rsidRPr="00660A9E">
              <w:rPr>
                <w:rFonts w:ascii="Lucida Sans" w:eastAsia="Times New Roman" w:hAnsi="Lucida Sans" w:cs="Helvetica"/>
                <w:b/>
                <w:bCs/>
                <w:color w:val="333333"/>
                <w:lang w:eastAsia="pt-BR"/>
              </w:rPr>
              <w:t>VALOR DO SALÁRIO-FAMÍLIA</w:t>
            </w:r>
          </w:p>
        </w:tc>
      </w:tr>
      <w:tr w:rsidR="00660A9E" w:rsidRPr="00660A9E" w:rsidTr="00660A9E">
        <w:tc>
          <w:tcPr>
            <w:tcW w:w="2607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0A9E" w:rsidRPr="00660A9E" w:rsidRDefault="00660A9E" w:rsidP="00660A9E">
            <w:pPr>
              <w:spacing w:after="150" w:line="240" w:lineRule="auto"/>
              <w:jc w:val="both"/>
              <w:rPr>
                <w:rFonts w:ascii="Lucida Sans" w:eastAsia="Times New Roman" w:hAnsi="Lucida Sans" w:cs="Helvetica"/>
                <w:color w:val="333333"/>
                <w:lang w:eastAsia="pt-BR"/>
              </w:rPr>
            </w:pPr>
            <w:r w:rsidRPr="00660A9E">
              <w:rPr>
                <w:rFonts w:ascii="Lucida Sans" w:eastAsia="Times New Roman" w:hAnsi="Lucida Sans" w:cs="Helvetica"/>
                <w:color w:val="333333"/>
                <w:lang w:eastAsia="pt-BR"/>
              </w:rPr>
              <w:t>Até R$ 1.364,43</w:t>
            </w:r>
          </w:p>
        </w:tc>
        <w:tc>
          <w:tcPr>
            <w:tcW w:w="239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0A9E" w:rsidRPr="00660A9E" w:rsidRDefault="00660A9E" w:rsidP="00660A9E">
            <w:pPr>
              <w:spacing w:after="150" w:line="240" w:lineRule="auto"/>
              <w:jc w:val="both"/>
              <w:rPr>
                <w:rFonts w:ascii="Lucida Sans" w:eastAsia="Times New Roman" w:hAnsi="Lucida Sans" w:cs="Helvetica"/>
                <w:color w:val="333333"/>
                <w:lang w:eastAsia="pt-BR"/>
              </w:rPr>
            </w:pPr>
            <w:r w:rsidRPr="00660A9E">
              <w:rPr>
                <w:rFonts w:ascii="Lucida Sans" w:eastAsia="Times New Roman" w:hAnsi="Lucida Sans" w:cs="Helvetica"/>
                <w:color w:val="333333"/>
                <w:lang w:eastAsia="pt-BR"/>
              </w:rPr>
              <w:t>R$ 46,54</w:t>
            </w:r>
          </w:p>
        </w:tc>
      </w:tr>
      <w:tr w:rsidR="00660A9E" w:rsidRPr="00660A9E" w:rsidTr="00660A9E">
        <w:tc>
          <w:tcPr>
            <w:tcW w:w="2607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0A9E" w:rsidRPr="00660A9E" w:rsidRDefault="00660A9E" w:rsidP="00660A9E">
            <w:pPr>
              <w:spacing w:after="150" w:line="240" w:lineRule="auto"/>
              <w:jc w:val="both"/>
              <w:rPr>
                <w:rFonts w:ascii="Lucida Sans" w:eastAsia="Times New Roman" w:hAnsi="Lucida Sans" w:cs="Helvetica"/>
                <w:color w:val="333333"/>
                <w:lang w:eastAsia="pt-BR"/>
              </w:rPr>
            </w:pPr>
            <w:r w:rsidRPr="00660A9E">
              <w:rPr>
                <w:rFonts w:ascii="Lucida Sans" w:eastAsia="Times New Roman" w:hAnsi="Lucida Sans" w:cs="Helvetica"/>
                <w:color w:val="333333"/>
                <w:lang w:eastAsia="pt-BR"/>
              </w:rPr>
              <w:t>Acima de R$ 1.364,43</w:t>
            </w:r>
          </w:p>
        </w:tc>
        <w:tc>
          <w:tcPr>
            <w:tcW w:w="2393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0A9E" w:rsidRPr="00660A9E" w:rsidRDefault="00660A9E" w:rsidP="00660A9E">
            <w:pPr>
              <w:spacing w:after="150" w:line="240" w:lineRule="auto"/>
              <w:jc w:val="both"/>
              <w:rPr>
                <w:rFonts w:ascii="Lucida Sans" w:eastAsia="Times New Roman" w:hAnsi="Lucida Sans" w:cs="Helvetica"/>
                <w:color w:val="333333"/>
                <w:lang w:eastAsia="pt-BR"/>
              </w:rPr>
            </w:pPr>
            <w:r w:rsidRPr="00660A9E">
              <w:rPr>
                <w:rFonts w:ascii="Lucida Sans" w:eastAsia="Times New Roman" w:hAnsi="Lucida Sans" w:cs="Helvetica"/>
                <w:color w:val="333333"/>
                <w:lang w:eastAsia="pt-BR"/>
              </w:rPr>
              <w:t>Não tem direito</w:t>
            </w:r>
          </w:p>
        </w:tc>
      </w:tr>
    </w:tbl>
    <w:p w:rsidR="00E6649F" w:rsidRDefault="00E6649F" w:rsidP="00660A9E">
      <w:pPr>
        <w:shd w:val="clear" w:color="auto" w:fill="FFFFFF"/>
        <w:spacing w:after="150" w:line="240" w:lineRule="auto"/>
        <w:jc w:val="both"/>
        <w:rPr>
          <w:rFonts w:ascii="Lucida Sans" w:eastAsia="Times New Roman" w:hAnsi="Lucida Sans" w:cs="Helvetica"/>
          <w:color w:val="333333"/>
          <w:lang w:eastAsia="pt-BR"/>
        </w:rPr>
      </w:pPr>
    </w:p>
    <w:p w:rsidR="00660A9E" w:rsidRPr="00660A9E" w:rsidRDefault="00660A9E" w:rsidP="00660A9E">
      <w:pPr>
        <w:shd w:val="clear" w:color="auto" w:fill="FFFFFF"/>
        <w:spacing w:after="150" w:line="240" w:lineRule="auto"/>
        <w:jc w:val="both"/>
        <w:rPr>
          <w:rFonts w:ascii="Lucida Sans" w:eastAsia="Times New Roman" w:hAnsi="Lucida Sans" w:cs="Helvetica"/>
          <w:color w:val="333333"/>
          <w:lang w:eastAsia="pt-BR"/>
        </w:rPr>
      </w:pPr>
      <w:r w:rsidRPr="00660A9E">
        <w:rPr>
          <w:rFonts w:ascii="Lucida Sans" w:eastAsia="Times New Roman" w:hAnsi="Lucida Sans" w:cs="Helvetica"/>
          <w:color w:val="333333"/>
          <w:lang w:eastAsia="pt-BR"/>
        </w:rPr>
        <w:t>Considerando que a norma legal não será aplicada com efeitos retroativos, </w:t>
      </w:r>
      <w:r w:rsidRPr="00660A9E">
        <w:rPr>
          <w:rFonts w:ascii="Lucida Sans" w:eastAsia="Times New Roman" w:hAnsi="Lucida Sans" w:cs="Helvetica"/>
          <w:b/>
          <w:bCs/>
          <w:color w:val="333333"/>
          <w:lang w:eastAsia="pt-BR"/>
        </w:rPr>
        <w:t>inicialmente interpreta</w:t>
      </w:r>
      <w:r w:rsidR="00E6649F">
        <w:rPr>
          <w:rFonts w:ascii="Lucida Sans" w:eastAsia="Times New Roman" w:hAnsi="Lucida Sans" w:cs="Helvetica"/>
          <w:b/>
          <w:bCs/>
          <w:color w:val="333333"/>
          <w:lang w:eastAsia="pt-BR"/>
        </w:rPr>
        <w:t xml:space="preserve">-se </w:t>
      </w:r>
      <w:r w:rsidRPr="00660A9E">
        <w:rPr>
          <w:rFonts w:ascii="Lucida Sans" w:eastAsia="Times New Roman" w:hAnsi="Lucida Sans" w:cs="Helvetica"/>
          <w:b/>
          <w:bCs/>
          <w:color w:val="333333"/>
          <w:lang w:eastAsia="pt-BR"/>
        </w:rPr>
        <w:t>que as novas regras para pagamento do benefício salário-família serão adotadas a partir de 13/11/2019. Ou seja, para o mês de novembro de 2019</w:t>
      </w:r>
      <w:r w:rsidR="00E6649F">
        <w:rPr>
          <w:rFonts w:ascii="Lucida Sans" w:eastAsia="Times New Roman" w:hAnsi="Lucida Sans" w:cs="Helvetica"/>
          <w:b/>
          <w:bCs/>
          <w:color w:val="333333"/>
          <w:lang w:eastAsia="pt-BR"/>
        </w:rPr>
        <w:t>,</w:t>
      </w:r>
      <w:r w:rsidRPr="00660A9E">
        <w:rPr>
          <w:rFonts w:ascii="Lucida Sans" w:eastAsia="Times New Roman" w:hAnsi="Lucida Sans" w:cs="Helvetica"/>
          <w:b/>
          <w:bCs/>
          <w:color w:val="333333"/>
          <w:lang w:eastAsia="pt-BR"/>
        </w:rPr>
        <w:t xml:space="preserve"> entende</w:t>
      </w:r>
      <w:r w:rsidR="00E6649F">
        <w:rPr>
          <w:rFonts w:ascii="Lucida Sans" w:eastAsia="Times New Roman" w:hAnsi="Lucida Sans" w:cs="Helvetica"/>
          <w:b/>
          <w:bCs/>
          <w:color w:val="333333"/>
          <w:lang w:eastAsia="pt-BR"/>
        </w:rPr>
        <w:t>-se,</w:t>
      </w:r>
      <w:r w:rsidR="00E656BF">
        <w:rPr>
          <w:rFonts w:ascii="Lucida Sans" w:eastAsia="Times New Roman" w:hAnsi="Lucida Sans" w:cs="Helvetica"/>
          <w:b/>
          <w:bCs/>
          <w:color w:val="333333"/>
          <w:lang w:eastAsia="pt-BR"/>
        </w:rPr>
        <w:t xml:space="preserve"> </w:t>
      </w:r>
      <w:r w:rsidRPr="00660A9E">
        <w:rPr>
          <w:rFonts w:ascii="Lucida Sans" w:eastAsia="Times New Roman" w:hAnsi="Lucida Sans" w:cs="Helvetica"/>
          <w:b/>
          <w:bCs/>
          <w:color w:val="333333"/>
          <w:lang w:eastAsia="pt-BR"/>
        </w:rPr>
        <w:t xml:space="preserve">que os empregadores terão dois critérios de pagamento do benefício salário-família, </w:t>
      </w:r>
      <w:r w:rsidRPr="00660A9E">
        <w:rPr>
          <w:rFonts w:ascii="Lucida Sans" w:eastAsia="Times New Roman" w:hAnsi="Lucida Sans" w:cs="Helvetica"/>
          <w:b/>
          <w:bCs/>
          <w:color w:val="333333"/>
          <w:u w:val="single"/>
          <w:lang w:eastAsia="pt-BR"/>
        </w:rPr>
        <w:t>aplicando os novos valores apenas a partir de 13/11/2019</w:t>
      </w:r>
      <w:r w:rsidRPr="00660A9E">
        <w:rPr>
          <w:rFonts w:ascii="Lucida Sans" w:eastAsia="Times New Roman" w:hAnsi="Lucida Sans" w:cs="Helvetica"/>
          <w:b/>
          <w:bCs/>
          <w:color w:val="333333"/>
          <w:lang w:eastAsia="pt-BR"/>
        </w:rPr>
        <w:t>.</w:t>
      </w:r>
    </w:p>
    <w:p w:rsidR="00660A9E" w:rsidRPr="00660A9E" w:rsidRDefault="00E6649F" w:rsidP="00660A9E">
      <w:pPr>
        <w:shd w:val="clear" w:color="auto" w:fill="FFFFFF"/>
        <w:spacing w:after="150" w:line="240" w:lineRule="auto"/>
        <w:jc w:val="both"/>
        <w:rPr>
          <w:rFonts w:ascii="Lucida Sans" w:eastAsia="Times New Roman" w:hAnsi="Lucida Sans" w:cs="Helvetica"/>
          <w:color w:val="222222"/>
          <w:sz w:val="28"/>
          <w:szCs w:val="28"/>
          <w:lang w:eastAsia="pt-BR"/>
        </w:rPr>
      </w:pPr>
      <w:r w:rsidRPr="00827E80">
        <w:rPr>
          <w:rFonts w:ascii="Lucida Sans" w:eastAsia="Times New Roman" w:hAnsi="Lucida Sans" w:cs="Helvetica"/>
          <w:b/>
          <w:bCs/>
          <w:color w:val="B45F06"/>
          <w:sz w:val="28"/>
          <w:szCs w:val="28"/>
          <w:lang w:eastAsia="pt-BR"/>
        </w:rPr>
        <w:t>Nesse sentido, a orientação é a de</w:t>
      </w:r>
      <w:r w:rsidR="00660A9E" w:rsidRPr="00660A9E">
        <w:rPr>
          <w:rFonts w:ascii="Lucida Sans" w:eastAsia="Times New Roman" w:hAnsi="Lucida Sans" w:cs="Helvetica"/>
          <w:b/>
          <w:bCs/>
          <w:color w:val="B45F06"/>
          <w:sz w:val="28"/>
          <w:szCs w:val="28"/>
          <w:lang w:eastAsia="pt-BR"/>
        </w:rPr>
        <w:t xml:space="preserve"> que os empregadores aguardem instruções específicas da Secretaria do Trabalho/Ministério da Economia e/ou da Receita Federal do Brasil, quanto a forma de pagamento do benefício salário-família na competência novembro de 2019</w:t>
      </w:r>
      <w:r w:rsidR="00660A9E" w:rsidRPr="00660A9E">
        <w:rPr>
          <w:rFonts w:ascii="Lucida Sans" w:eastAsia="Times New Roman" w:hAnsi="Lucida Sans" w:cs="Helvetica"/>
          <w:color w:val="B45F06"/>
          <w:sz w:val="28"/>
          <w:szCs w:val="28"/>
          <w:lang w:eastAsia="pt-BR"/>
        </w:rPr>
        <w:t>.</w:t>
      </w:r>
    </w:p>
    <w:p w:rsidR="00660A9E" w:rsidRPr="00E6649F" w:rsidRDefault="00660A9E" w:rsidP="00660A9E">
      <w:pPr>
        <w:shd w:val="clear" w:color="auto" w:fill="FFFFFF"/>
        <w:spacing w:after="150" w:line="240" w:lineRule="auto"/>
        <w:jc w:val="both"/>
        <w:rPr>
          <w:rFonts w:ascii="Lucida Sans" w:eastAsia="Times New Roman" w:hAnsi="Lucida Sans" w:cs="Helvetica"/>
          <w:b/>
          <w:i/>
          <w:iCs/>
          <w:color w:val="333333"/>
          <w:sz w:val="16"/>
          <w:szCs w:val="16"/>
          <w:lang w:eastAsia="pt-BR"/>
        </w:rPr>
      </w:pPr>
      <w:r w:rsidRPr="00660A9E">
        <w:rPr>
          <w:rFonts w:ascii="Lucida Sans" w:eastAsia="Times New Roman" w:hAnsi="Lucida Sans" w:cs="Helvetica"/>
          <w:b/>
          <w:bCs/>
          <w:color w:val="333333"/>
          <w:sz w:val="16"/>
          <w:szCs w:val="16"/>
          <w:lang w:eastAsia="pt-BR"/>
        </w:rPr>
        <w:t>Fonte:</w:t>
      </w:r>
      <w:r w:rsidRPr="00660A9E">
        <w:rPr>
          <w:rFonts w:ascii="Lucida Sans" w:eastAsia="Times New Roman" w:hAnsi="Lucida Sans" w:cs="Helvetica"/>
          <w:b/>
          <w:color w:val="333333"/>
          <w:sz w:val="16"/>
          <w:szCs w:val="16"/>
          <w:lang w:eastAsia="pt-BR"/>
        </w:rPr>
        <w:t> </w:t>
      </w:r>
      <w:r w:rsidR="00E656BF" w:rsidRPr="00E6649F">
        <w:rPr>
          <w:rFonts w:ascii="Lucida Sans" w:eastAsia="Times New Roman" w:hAnsi="Lucida Sans" w:cs="Helvetica"/>
          <w:b/>
          <w:i/>
          <w:iCs/>
          <w:color w:val="333333"/>
          <w:sz w:val="16"/>
          <w:szCs w:val="16"/>
          <w:lang w:eastAsia="pt-BR"/>
        </w:rPr>
        <w:t>Legisweb</w:t>
      </w:r>
    </w:p>
    <w:p w:rsidR="00660A9E" w:rsidRPr="00660A9E" w:rsidRDefault="00660A9E" w:rsidP="00E6649F">
      <w:pPr>
        <w:shd w:val="clear" w:color="auto" w:fill="FFFFFF"/>
        <w:spacing w:after="150" w:line="240" w:lineRule="auto"/>
        <w:jc w:val="center"/>
        <w:rPr>
          <w:rFonts w:ascii="Lucida Sans" w:eastAsia="Times New Roman" w:hAnsi="Lucida Sans" w:cs="Helvetica"/>
          <w:b/>
          <w:color w:val="C00000"/>
          <w:sz w:val="24"/>
          <w:szCs w:val="24"/>
          <w:u w:val="single"/>
          <w:lang w:eastAsia="pt-BR"/>
        </w:rPr>
      </w:pPr>
      <w:r w:rsidRPr="00E6649F">
        <w:rPr>
          <w:rFonts w:ascii="Lucida Sans" w:hAnsi="Lucida Sans" w:cs="Helvetica"/>
          <w:b/>
          <w:color w:val="C00000"/>
          <w:sz w:val="24"/>
          <w:szCs w:val="24"/>
          <w:u w:val="single"/>
          <w:shd w:val="clear" w:color="auto" w:fill="FFFFFF"/>
        </w:rPr>
        <w:t xml:space="preserve">eSocial Doméstico </w:t>
      </w:r>
      <w:r w:rsidR="00E6649F">
        <w:rPr>
          <w:rFonts w:ascii="Lucida Sans" w:hAnsi="Lucida Sans" w:cs="Helvetica"/>
          <w:b/>
          <w:color w:val="C00000"/>
          <w:sz w:val="24"/>
          <w:szCs w:val="24"/>
          <w:u w:val="single"/>
          <w:shd w:val="clear" w:color="auto" w:fill="FFFFFF"/>
        </w:rPr>
        <w:t xml:space="preserve">já está </w:t>
      </w:r>
      <w:r w:rsidRPr="00E6649F">
        <w:rPr>
          <w:rFonts w:ascii="Lucida Sans" w:hAnsi="Lucida Sans" w:cs="Helvetica"/>
          <w:b/>
          <w:color w:val="C00000"/>
          <w:sz w:val="24"/>
          <w:szCs w:val="24"/>
          <w:u w:val="single"/>
          <w:shd w:val="clear" w:color="auto" w:fill="FFFFFF"/>
        </w:rPr>
        <w:t>atualizado com o novo valor do salário-família</w:t>
      </w:r>
    </w:p>
    <w:p w:rsidR="00660A9E" w:rsidRPr="00660A9E" w:rsidRDefault="00E6649F" w:rsidP="00660A9E">
      <w:pPr>
        <w:shd w:val="clear" w:color="auto" w:fill="FFFFFF"/>
        <w:spacing w:before="300" w:after="0" w:line="240" w:lineRule="auto"/>
        <w:jc w:val="both"/>
        <w:rPr>
          <w:rFonts w:ascii="Lucida Sans" w:eastAsia="Times New Roman" w:hAnsi="Lucida Sans" w:cs="Times New Roman"/>
          <w:b/>
          <w:bCs/>
          <w:color w:val="666666"/>
          <w:lang w:eastAsia="pt-BR"/>
        </w:rPr>
      </w:pPr>
      <w:r>
        <w:rPr>
          <w:rFonts w:ascii="Lucida Sans" w:eastAsia="Times New Roman" w:hAnsi="Lucida Sans" w:cs="Times New Roman"/>
          <w:color w:val="666666"/>
          <w:lang w:eastAsia="pt-BR"/>
        </w:rPr>
        <w:t xml:space="preserve">Com a publicação da </w:t>
      </w:r>
      <w:hyperlink r:id="rId12" w:tgtFrame="_blank" w:history="1">
        <w:r w:rsidR="00660A9E" w:rsidRPr="00827E80">
          <w:rPr>
            <w:rFonts w:ascii="Lucida Sans" w:eastAsia="Times New Roman" w:hAnsi="Lucida Sans" w:cs="Times New Roman"/>
            <w:b/>
            <w:color w:val="595959" w:themeColor="text1" w:themeTint="A6"/>
            <w:lang w:eastAsia="pt-BR"/>
          </w:rPr>
          <w:t>Emenda Constitucional 103</w:t>
        </w:r>
      </w:hyperlink>
      <w:r w:rsidR="00660A9E"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, </w:t>
      </w:r>
      <w:r w:rsidR="00827E80">
        <w:rPr>
          <w:rFonts w:ascii="Lucida Sans" w:eastAsia="Times New Roman" w:hAnsi="Lucida Sans" w:cs="Times New Roman"/>
          <w:color w:val="666666"/>
          <w:lang w:eastAsia="pt-BR"/>
        </w:rPr>
        <w:t xml:space="preserve">a partir de 13/11/2019 o </w:t>
      </w:r>
      <w:r w:rsidR="00660A9E" w:rsidRPr="00660A9E">
        <w:rPr>
          <w:rFonts w:ascii="Lucida Sans" w:eastAsia="Times New Roman" w:hAnsi="Lucida Sans" w:cs="Times New Roman"/>
          <w:color w:val="666666"/>
          <w:lang w:eastAsia="pt-BR"/>
        </w:rPr>
        <w:t>valor da cota do salário-família passou a ser R$ 46,54 (quarenta e seis reais e cinquenta e quatro centavos), devida aos trabalhadores</w:t>
      </w:r>
      <w:r w:rsidR="00E656BF"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 </w:t>
      </w:r>
      <w:r w:rsidR="00660A9E" w:rsidRPr="00660A9E">
        <w:rPr>
          <w:rFonts w:ascii="Lucida Sans" w:eastAsia="Times New Roman" w:hAnsi="Lucida Sans" w:cs="Times New Roman"/>
          <w:color w:val="666666"/>
          <w:lang w:eastAsia="pt-BR"/>
        </w:rPr>
        <w:t>que tenham renda bruta mensal igual ou inferior a R$ 1.364,43 (mil, trezentos e sessenta e quatro reais e quarenta e três centavos).</w:t>
      </w:r>
    </w:p>
    <w:p w:rsidR="00660A9E" w:rsidRPr="00660A9E" w:rsidRDefault="00660A9E" w:rsidP="00827E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300" w:after="0" w:line="240" w:lineRule="auto"/>
        <w:jc w:val="both"/>
        <w:rPr>
          <w:rFonts w:ascii="Lucida Sans" w:eastAsia="Times New Roman" w:hAnsi="Lucida Sans" w:cs="Times New Roman"/>
          <w:b/>
          <w:bCs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Até outubro de 2019, competência anterior </w:t>
      </w:r>
      <w:r w:rsidRPr="00660A9E">
        <w:rPr>
          <w:rFonts w:ascii="Lucida Sans" w:eastAsia="Times New Roman" w:hAnsi="Lucida Sans" w:cs="Times New Roman"/>
          <w:b/>
          <w:bCs/>
          <w:color w:val="666666"/>
          <w:lang w:eastAsia="pt-BR"/>
        </w:rPr>
        <w:t>a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 da promulgação da Emenda Constitucional, o valor da cota do salário-família paga em razão de cada dependente, variava de acordo com a remuneração do trabalhador e era dimensionada de acordo com duas faixas: para os empregados que percebiam até R$ 907,77 (novecentos e sete reais e setenta e sete centavos), o valor da 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lastRenderedPageBreak/>
        <w:t>cota do salário-família era de 46,54</w:t>
      </w:r>
      <w:r w:rsidR="00E656BF"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 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>quarenta e seis reais e cinquenta e quatro centavos); e para os empregados com remuneração superior a R$ 907,78 (novecentos e sete reais e setenta e oito centavos) e igual ou inferior a</w:t>
      </w:r>
      <w:r w:rsidR="00E656BF"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 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>R$ 1.364,43 (mil, trezentos e sessenta e quatro reais e quarenta e três centavos), o valor do salário-família era de R$ 32,80 (trinta e dois reais e oitenta centavos).</w:t>
      </w:r>
    </w:p>
    <w:p w:rsidR="00660A9E" w:rsidRPr="00660A9E" w:rsidRDefault="00660A9E" w:rsidP="00660A9E">
      <w:pPr>
        <w:spacing w:after="0" w:line="240" w:lineRule="auto"/>
        <w:jc w:val="both"/>
        <w:rPr>
          <w:rFonts w:ascii="Lucida Sans" w:eastAsia="Times New Roman" w:hAnsi="Lucida Sans" w:cs="Times New Roman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 xml:space="preserve">Os empregadores que ainda não fecharam a folha de pagamento referente ao mês de novembro/2019 já o farão na nova versão do sistema </w:t>
      </w:r>
      <w:r w:rsidR="00827E80">
        <w:rPr>
          <w:rFonts w:ascii="Lucida Sans" w:eastAsia="Times New Roman" w:hAnsi="Lucida Sans" w:cs="Times New Roman"/>
          <w:color w:val="666666"/>
          <w:lang w:eastAsia="pt-BR"/>
        </w:rPr>
        <w:t xml:space="preserve">(21/11) 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>que já considera o valor atualizado do salário-família.</w:t>
      </w:r>
    </w:p>
    <w:p w:rsidR="00827E80" w:rsidRPr="00660A9E" w:rsidRDefault="00827E80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Os empregadores que porventura já tenham fechado a folha de pagamento da competência novembro/2019, antes da implanta</w:t>
      </w:r>
      <w:r w:rsidR="00827E80">
        <w:rPr>
          <w:rFonts w:ascii="Lucida Sans" w:eastAsia="Times New Roman" w:hAnsi="Lucida Sans" w:cs="Times New Roman"/>
          <w:color w:val="666666"/>
          <w:lang w:eastAsia="pt-BR"/>
        </w:rPr>
        <w:t xml:space="preserve">ção da nova versão do sistema, </w:t>
      </w:r>
      <w:r w:rsidRPr="00660A9E">
        <w:rPr>
          <w:rFonts w:ascii="Lucida Sans" w:eastAsia="Times New Roman" w:hAnsi="Lucida Sans" w:cs="Times New Roman"/>
          <w:color w:val="666666"/>
          <w:lang w:eastAsia="pt-BR"/>
        </w:rPr>
        <w:t>para fins de ajustar-se à nova norma legal, deverão:</w:t>
      </w:r>
    </w:p>
    <w:p w:rsidR="00827E80" w:rsidRPr="00660A9E" w:rsidRDefault="00827E80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P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1) reabrir a folha de pagamento;</w:t>
      </w:r>
    </w:p>
    <w:p w:rsidR="00660A9E" w:rsidRP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2) excluir a remuneração;</w:t>
      </w:r>
    </w:p>
    <w:p w:rsidR="00660A9E" w:rsidRP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3) fechar novamente a folha de pagamento;</w:t>
      </w: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4) gerar novo documento de arrecadação do eSocial - DAE.</w:t>
      </w:r>
    </w:p>
    <w:p w:rsidR="00827E80" w:rsidRPr="00660A9E" w:rsidRDefault="00827E80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  <w:r w:rsidRPr="00660A9E">
        <w:rPr>
          <w:rFonts w:ascii="Lucida Sans" w:eastAsia="Times New Roman" w:hAnsi="Lucida Sans" w:cs="Times New Roman"/>
          <w:color w:val="666666"/>
          <w:lang w:eastAsia="pt-BR"/>
        </w:rPr>
        <w:t>Assim procedendo, o eSocial Doméstico assumirá o novo valor do salário do salário-família automaticamente e, na reemissão do respectivo DAE, o montante a ser pago já estará considerando o salário-família atualizado.</w:t>
      </w:r>
    </w:p>
    <w:p w:rsidR="00827E80" w:rsidRPr="00660A9E" w:rsidRDefault="00827E80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color w:val="666666"/>
          <w:lang w:eastAsia="pt-BR"/>
        </w:rPr>
      </w:pPr>
    </w:p>
    <w:p w:rsidR="00660A9E" w:rsidRPr="00660A9E" w:rsidRDefault="00660A9E" w:rsidP="00660A9E">
      <w:pPr>
        <w:shd w:val="clear" w:color="auto" w:fill="FFFFFF"/>
        <w:spacing w:after="0" w:line="240" w:lineRule="auto"/>
        <w:jc w:val="both"/>
        <w:rPr>
          <w:rFonts w:ascii="Lucida Sans" w:eastAsia="Times New Roman" w:hAnsi="Lucida Sans" w:cs="Times New Roman"/>
          <w:b/>
          <w:color w:val="666666"/>
          <w:sz w:val="16"/>
          <w:szCs w:val="16"/>
          <w:lang w:eastAsia="pt-BR"/>
        </w:rPr>
      </w:pPr>
      <w:r w:rsidRPr="00660A9E">
        <w:rPr>
          <w:rFonts w:ascii="Lucida Sans" w:eastAsia="Times New Roman" w:hAnsi="Lucida Sans" w:cs="Times New Roman"/>
          <w:b/>
          <w:color w:val="666666"/>
          <w:sz w:val="16"/>
          <w:szCs w:val="16"/>
          <w:lang w:eastAsia="pt-BR"/>
        </w:rPr>
        <w:t>FONTE: eSocial</w:t>
      </w:r>
    </w:p>
    <w:p w:rsidR="00AD1EE1" w:rsidRPr="00AD1EE1" w:rsidRDefault="00AD1EE1" w:rsidP="00AD1EE1">
      <w:pPr>
        <w:pStyle w:val="Ttulo4"/>
        <w:shd w:val="clear" w:color="auto" w:fill="ECECEC"/>
        <w:spacing w:after="225"/>
        <w:jc w:val="center"/>
        <w:rPr>
          <w:rFonts w:ascii="Lucida Sans" w:hAnsi="Lucida Sans"/>
          <w:i w:val="0"/>
          <w:color w:val="C00000"/>
          <w:sz w:val="24"/>
          <w:szCs w:val="24"/>
          <w:u w:val="single"/>
        </w:rPr>
      </w:pPr>
      <w:r w:rsidRPr="00AD1EE1">
        <w:rPr>
          <w:rFonts w:ascii="Lucida Sans" w:hAnsi="Lucida Sans" w:cs="Tahoma"/>
          <w:i w:val="0"/>
          <w:color w:val="C00000"/>
          <w:spacing w:val="15"/>
          <w:sz w:val="24"/>
          <w:szCs w:val="24"/>
          <w:u w:val="single"/>
        </w:rPr>
        <w:t>Dirf - Fonte pagadora deve informar a totalidade dos rendimentos pagos ao beneficiário</w:t>
      </w:r>
    </w:p>
    <w:p w:rsidR="00AD1EE1" w:rsidRPr="00AD1EE1" w:rsidRDefault="00AD1EE1" w:rsidP="00AD1EE1">
      <w:pPr>
        <w:jc w:val="both"/>
        <w:rPr>
          <w:rFonts w:ascii="Lucida Sans" w:hAnsi="Lucida Sans"/>
          <w:vanish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AD1EE1" w:rsidRPr="00AD1EE1" w:rsidTr="00AD1EE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D1EE1" w:rsidRDefault="00AD1EE1" w:rsidP="00AD1EE1">
            <w:pPr>
              <w:pStyle w:val="NormalWeb"/>
              <w:spacing w:before="0" w:beforeAutospacing="0" w:after="0" w:afterAutospacing="0"/>
              <w:jc w:val="both"/>
              <w:rPr>
                <w:rFonts w:ascii="Lucida Sans" w:hAnsi="Lucida Sans" w:cs="Tahoma"/>
                <w:color w:val="333333"/>
                <w:spacing w:val="15"/>
                <w:sz w:val="22"/>
                <w:szCs w:val="22"/>
              </w:rPr>
            </w:pPr>
            <w:bookmarkStart w:id="1" w:name="m_-2101085120923812455_n-451257"/>
            <w:bookmarkEnd w:id="1"/>
            <w:r w:rsidRPr="00AD1EE1">
              <w:rPr>
                <w:rFonts w:ascii="Lucida Sans" w:hAnsi="Lucida Sans" w:cs="Tahoma"/>
                <w:color w:val="333333"/>
                <w:spacing w:val="15"/>
                <w:sz w:val="22"/>
                <w:szCs w:val="22"/>
              </w:rPr>
              <w:t xml:space="preserve">A </w:t>
            </w:r>
            <w:r w:rsidRPr="00AD1EE1">
              <w:rPr>
                <w:rFonts w:ascii="Lucida Sans" w:hAnsi="Lucida Sans" w:cs="Tahoma"/>
                <w:b/>
                <w:color w:val="333333"/>
                <w:spacing w:val="15"/>
                <w:sz w:val="22"/>
                <w:szCs w:val="22"/>
              </w:rPr>
              <w:t>Solução de Consulta Cosit nº </w:t>
            </w:r>
            <w:hyperlink r:id="rId13" w:anchor="fe%2Bsc%2Bcosit%2B285%2B2019" w:tgtFrame="_blank" w:history="1">
              <w:r w:rsidRPr="00AD1EE1">
                <w:rPr>
                  <w:rStyle w:val="Hyperlink"/>
                  <w:rFonts w:ascii="Lucida Sans" w:hAnsi="Lucida Sans" w:cs="Tahoma"/>
                  <w:b/>
                  <w:bCs/>
                  <w:color w:val="333333"/>
                  <w:spacing w:val="15"/>
                  <w:sz w:val="22"/>
                  <w:szCs w:val="22"/>
                  <w:u w:val="none"/>
                  <w:bdr w:val="none" w:sz="0" w:space="0" w:color="auto" w:frame="1"/>
                </w:rPr>
                <w:t>285/2019</w:t>
              </w:r>
            </w:hyperlink>
            <w:r>
              <w:rPr>
                <w:rFonts w:ascii="Lucida Sans" w:hAnsi="Lucida Sans" w:cs="Tahoma"/>
                <w:color w:val="333333"/>
                <w:spacing w:val="15"/>
                <w:sz w:val="22"/>
                <w:szCs w:val="22"/>
              </w:rPr>
              <w:t>, publicada em 07/11,</w:t>
            </w:r>
            <w:r w:rsidRPr="00AD1EE1">
              <w:rPr>
                <w:rFonts w:ascii="Lucida Sans" w:hAnsi="Lucida Sans" w:cs="Tahoma"/>
                <w:color w:val="333333"/>
                <w:spacing w:val="15"/>
                <w:sz w:val="22"/>
                <w:szCs w:val="22"/>
              </w:rPr>
              <w:t> esclareceu que foi definida pela legislação tributária a obrigatoriedade de inclusão de um beneficiário em Declaração do Imposto sobre a Renda Retido na Fonte (Dirf) pela fonte pagadora, que deverá informar na Dirf todos os rendimentos pagos àquele beneficiário no período de referência, independentemente de sua natureza.</w:t>
            </w:r>
            <w:r w:rsidRPr="00AD1EE1">
              <w:rPr>
                <w:rFonts w:ascii="Lucida Sans" w:hAnsi="Lucida Sans" w:cs="Tahoma"/>
                <w:color w:val="333333"/>
                <w:spacing w:val="15"/>
                <w:sz w:val="22"/>
                <w:szCs w:val="22"/>
              </w:rPr>
              <w:br/>
            </w:r>
            <w:r w:rsidRPr="00AD1EE1">
              <w:rPr>
                <w:rFonts w:ascii="Lucida Sans" w:hAnsi="Lucida Sans" w:cs="Tahoma"/>
                <w:color w:val="333333"/>
                <w:spacing w:val="15"/>
                <w:sz w:val="22"/>
                <w:szCs w:val="22"/>
              </w:rPr>
              <w:br/>
              <w:t xml:space="preserve">A norma esclarece, ainda, que devem ser informados os valores totais dos pagamentos de rendimentos relativos ao 13º salário e à participação nos lucros e resultados (PLR), ainda que isentos, não se aplicando sobre estas verbas o limite anual mínimo de R$ 28.559,70, </w:t>
            </w:r>
            <w:r w:rsidRPr="00AD1EE1">
              <w:rPr>
                <w:rFonts w:ascii="Lucida Sans" w:hAnsi="Lucida Sans" w:cs="Tahoma"/>
                <w:color w:val="333333"/>
                <w:spacing w:val="15"/>
                <w:sz w:val="22"/>
                <w:szCs w:val="22"/>
              </w:rPr>
              <w:lastRenderedPageBreak/>
              <w:t>previsto na alínea "k" do inciso VII do art. </w:t>
            </w:r>
            <w:hyperlink r:id="rId14" w:anchor="fe%2Bin%2Brfb%2B1757%2B2017@art14" w:tgtFrame="_blank" w:history="1">
              <w:r w:rsidRPr="00AD1EE1">
                <w:rPr>
                  <w:rStyle w:val="Hyperlink"/>
                  <w:rFonts w:ascii="Lucida Sans" w:hAnsi="Lucida Sans" w:cs="Tahoma"/>
                  <w:b/>
                  <w:bCs/>
                  <w:color w:val="333333"/>
                  <w:spacing w:val="15"/>
                  <w:sz w:val="22"/>
                  <w:szCs w:val="22"/>
                  <w:u w:val="none"/>
                  <w:bdr w:val="none" w:sz="0" w:space="0" w:color="auto" w:frame="1"/>
                </w:rPr>
                <w:t>14</w:t>
              </w:r>
            </w:hyperlink>
            <w:r w:rsidRPr="00AD1EE1">
              <w:rPr>
                <w:rFonts w:ascii="Lucida Sans" w:hAnsi="Lucida Sans" w:cs="Tahoma"/>
                <w:color w:val="333333"/>
                <w:spacing w:val="15"/>
                <w:sz w:val="22"/>
                <w:szCs w:val="22"/>
              </w:rPr>
              <w:t> da Instrução Normativa RFB nº </w:t>
            </w:r>
            <w:hyperlink r:id="rId15" w:anchor="fe%2Bin%2Brfb%2B1757%2B2017" w:tgtFrame="_blank" w:history="1">
              <w:r w:rsidRPr="00AD1EE1">
                <w:rPr>
                  <w:rStyle w:val="Hyperlink"/>
                  <w:rFonts w:ascii="Lucida Sans" w:hAnsi="Lucida Sans" w:cs="Tahoma"/>
                  <w:b/>
                  <w:bCs/>
                  <w:color w:val="333333"/>
                  <w:spacing w:val="15"/>
                  <w:sz w:val="22"/>
                  <w:szCs w:val="22"/>
                  <w:u w:val="none"/>
                  <w:bdr w:val="none" w:sz="0" w:space="0" w:color="auto" w:frame="1"/>
                </w:rPr>
                <w:t>1.757/2017</w:t>
              </w:r>
            </w:hyperlink>
            <w:r w:rsidRPr="00AD1EE1">
              <w:rPr>
                <w:rFonts w:ascii="Lucida Sans" w:hAnsi="Lucida Sans" w:cs="Tahoma"/>
                <w:color w:val="333333"/>
                <w:spacing w:val="15"/>
                <w:sz w:val="22"/>
                <w:szCs w:val="22"/>
              </w:rPr>
              <w:t>.</w:t>
            </w:r>
          </w:p>
          <w:p w:rsidR="00AD1EE1" w:rsidRPr="00AD1EE1" w:rsidRDefault="00AD1EE1" w:rsidP="00AD1EE1">
            <w:pPr>
              <w:pStyle w:val="NormalWeb"/>
              <w:spacing w:before="0" w:beforeAutospacing="0" w:after="0" w:afterAutospacing="0"/>
              <w:jc w:val="both"/>
              <w:rPr>
                <w:rFonts w:ascii="Lucida Sans" w:hAnsi="Lucida Sans"/>
                <w:b/>
                <w:color w:val="222222"/>
                <w:sz w:val="16"/>
                <w:szCs w:val="16"/>
              </w:rPr>
            </w:pPr>
            <w:r>
              <w:rPr>
                <w:rFonts w:ascii="Lucida Sans" w:hAnsi="Lucida Sans" w:cs="Tahoma"/>
                <w:color w:val="333333"/>
                <w:spacing w:val="15"/>
                <w:sz w:val="22"/>
                <w:szCs w:val="22"/>
              </w:rPr>
              <w:br/>
            </w:r>
            <w:r w:rsidRPr="00AD1EE1">
              <w:rPr>
                <w:rFonts w:ascii="Lucida Sans" w:hAnsi="Lucida Sans" w:cs="Tahoma"/>
                <w:b/>
                <w:color w:val="333333"/>
                <w:spacing w:val="15"/>
                <w:sz w:val="16"/>
                <w:szCs w:val="16"/>
              </w:rPr>
              <w:t>Fonte: </w:t>
            </w:r>
            <w:r w:rsidRPr="00AD1EE1">
              <w:rPr>
                <w:rFonts w:ascii="Lucida Sans" w:hAnsi="Lucida Sans" w:cs="Tahoma"/>
                <w:b/>
                <w:bCs/>
                <w:color w:val="333333"/>
                <w:spacing w:val="15"/>
                <w:sz w:val="16"/>
                <w:szCs w:val="16"/>
                <w:bdr w:val="none" w:sz="0" w:space="0" w:color="auto" w:frame="1"/>
              </w:rPr>
              <w:t>Editorial IOB</w:t>
            </w:r>
          </w:p>
        </w:tc>
      </w:tr>
    </w:tbl>
    <w:p w:rsidR="00AD1EE1" w:rsidRPr="00660A9E" w:rsidRDefault="00AD1EE1" w:rsidP="00660A9E">
      <w:pPr>
        <w:jc w:val="both"/>
        <w:rPr>
          <w:rFonts w:ascii="Lucida Sans" w:hAnsi="Lucida Sans"/>
        </w:rPr>
      </w:pPr>
    </w:p>
    <w:sectPr w:rsidR="00AD1EE1" w:rsidRPr="00660A9E">
      <w:footerReference w:type="defaul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E19" w:rsidRDefault="00674E19" w:rsidP="00FD73CA">
      <w:pPr>
        <w:spacing w:after="0" w:line="240" w:lineRule="auto"/>
      </w:pPr>
      <w:r>
        <w:separator/>
      </w:r>
    </w:p>
  </w:endnote>
  <w:endnote w:type="continuationSeparator" w:id="0">
    <w:p w:rsidR="00674E19" w:rsidRDefault="00674E19" w:rsidP="00FD7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03303"/>
      <w:docPartObj>
        <w:docPartGallery w:val="Page Numbers (Bottom of Page)"/>
        <w:docPartUnique/>
      </w:docPartObj>
    </w:sdtPr>
    <w:sdtEndPr/>
    <w:sdtContent>
      <w:p w:rsidR="00FD73CA" w:rsidRDefault="00FD73C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0C8F">
          <w:rPr>
            <w:noProof/>
          </w:rPr>
          <w:t>1</w:t>
        </w:r>
        <w:r>
          <w:fldChar w:fldCharType="end"/>
        </w:r>
      </w:p>
    </w:sdtContent>
  </w:sdt>
  <w:p w:rsidR="00FD73CA" w:rsidRDefault="00FD73C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E19" w:rsidRDefault="00674E19" w:rsidP="00FD73CA">
      <w:pPr>
        <w:spacing w:after="0" w:line="240" w:lineRule="auto"/>
      </w:pPr>
      <w:r>
        <w:separator/>
      </w:r>
    </w:p>
  </w:footnote>
  <w:footnote w:type="continuationSeparator" w:id="0">
    <w:p w:rsidR="00674E19" w:rsidRDefault="00674E19" w:rsidP="00FD73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A9E"/>
    <w:rsid w:val="001F73D8"/>
    <w:rsid w:val="001F782E"/>
    <w:rsid w:val="0020168C"/>
    <w:rsid w:val="00220C8F"/>
    <w:rsid w:val="00343BB2"/>
    <w:rsid w:val="00537D95"/>
    <w:rsid w:val="005F61D1"/>
    <w:rsid w:val="00660A9E"/>
    <w:rsid w:val="00674E19"/>
    <w:rsid w:val="00827E80"/>
    <w:rsid w:val="00A54265"/>
    <w:rsid w:val="00A649DE"/>
    <w:rsid w:val="00AD1EE1"/>
    <w:rsid w:val="00C5388E"/>
    <w:rsid w:val="00C72332"/>
    <w:rsid w:val="00D409AF"/>
    <w:rsid w:val="00E656BF"/>
    <w:rsid w:val="00E6649F"/>
    <w:rsid w:val="00FD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660A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D1EE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60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660A9E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660A9E"/>
    <w:rPr>
      <w:b/>
      <w:bCs/>
    </w:rPr>
  </w:style>
  <w:style w:type="character" w:styleId="nfase">
    <w:name w:val="Emphasis"/>
    <w:basedOn w:val="Fontepargpadro"/>
    <w:uiPriority w:val="20"/>
    <w:qFormat/>
    <w:rsid w:val="00660A9E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660A9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table" w:styleId="Tabelacomgrade">
    <w:name w:val="Table Grid"/>
    <w:basedOn w:val="Tabelanormal"/>
    <w:uiPriority w:val="59"/>
    <w:rsid w:val="001F73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">
    <w:name w:val="sub_tit"/>
    <w:basedOn w:val="Normal"/>
    <w:rsid w:val="00C72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D73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D73CA"/>
  </w:style>
  <w:style w:type="paragraph" w:styleId="Rodap">
    <w:name w:val="footer"/>
    <w:basedOn w:val="Normal"/>
    <w:link w:val="RodapChar"/>
    <w:uiPriority w:val="99"/>
    <w:unhideWhenUsed/>
    <w:rsid w:val="00FD73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73CA"/>
  </w:style>
  <w:style w:type="character" w:customStyle="1" w:styleId="Ttulo4Char">
    <w:name w:val="Título 4 Char"/>
    <w:basedOn w:val="Fontepargpadro"/>
    <w:link w:val="Ttulo4"/>
    <w:uiPriority w:val="9"/>
    <w:rsid w:val="00AD1EE1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660A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D1EE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60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660A9E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660A9E"/>
    <w:rPr>
      <w:b/>
      <w:bCs/>
    </w:rPr>
  </w:style>
  <w:style w:type="character" w:styleId="nfase">
    <w:name w:val="Emphasis"/>
    <w:basedOn w:val="Fontepargpadro"/>
    <w:uiPriority w:val="20"/>
    <w:qFormat/>
    <w:rsid w:val="00660A9E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660A9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table" w:styleId="Tabelacomgrade">
    <w:name w:val="Table Grid"/>
    <w:basedOn w:val="Tabelanormal"/>
    <w:uiPriority w:val="59"/>
    <w:rsid w:val="001F73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">
    <w:name w:val="sub_tit"/>
    <w:basedOn w:val="Normal"/>
    <w:rsid w:val="00C72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D73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D73CA"/>
  </w:style>
  <w:style w:type="paragraph" w:styleId="Rodap">
    <w:name w:val="footer"/>
    <w:basedOn w:val="Normal"/>
    <w:link w:val="RodapChar"/>
    <w:uiPriority w:val="99"/>
    <w:unhideWhenUsed/>
    <w:rsid w:val="00FD73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73CA"/>
  </w:style>
  <w:style w:type="character" w:customStyle="1" w:styleId="Ttulo4Char">
    <w:name w:val="Título 4 Char"/>
    <w:basedOn w:val="Fontepargpadro"/>
    <w:link w:val="Ttulo4"/>
    <w:uiPriority w:val="9"/>
    <w:rsid w:val="00AD1EE1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5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3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2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0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5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tabeis.com.br/termos-contabeis/juros/" TargetMode="External"/><Relationship Id="rId13" Type="http://schemas.openxmlformats.org/officeDocument/2006/relationships/hyperlink" Target="https://www.iobonline.com.br/pages/coreonline/coreonlineDocuments.jsf?il=y&amp;ls=3&amp;docFieldName=destino&amp;docFieldValue=fe%2Bsc%2Bcosit%2B285%2B2019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n93XZ_FTUIFiGVQnpe9jf-iY0n6qTgB5/view?usp=sharing" TargetMode="External"/><Relationship Id="rId12" Type="http://schemas.openxmlformats.org/officeDocument/2006/relationships/hyperlink" Target="http://www.coad.com.br/busca/detalhe_31/247604/Atos_Legais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legisweb.com.br/noticia/?legislacao=38490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iobonline.com.br/pages/coreonline/coreonlineDocuments.jsf?il=y&amp;ls=3&amp;docFieldName=destino&amp;docFieldValue=fe%2Bin%2Brfb%2B1757%2B2017" TargetMode="External"/><Relationship Id="rId10" Type="http://schemas.openxmlformats.org/officeDocument/2006/relationships/hyperlink" Target="http://www.planalto.gov.br/ccivil_03/LEIS/LCP/Lcp110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ad.com.br/busca/detalhe_31/247577/Atos_Legais" TargetMode="External"/><Relationship Id="rId14" Type="http://schemas.openxmlformats.org/officeDocument/2006/relationships/hyperlink" Target="https://www.iobonline.com.br/pages/coreonline/coreonlineDocuments.jsf?il=y&amp;ls=3&amp;docFieldName=destino&amp;docFieldValue=fe%2Bin%2Brfb%2B1757%2B2017@art14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4683</Words>
  <Characters>25292</Characters>
  <Application>Microsoft Office Word</Application>
  <DocSecurity>0</DocSecurity>
  <Lines>210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Velludo</dc:creator>
  <cp:lastModifiedBy>Araraquara</cp:lastModifiedBy>
  <cp:revision>2</cp:revision>
  <dcterms:created xsi:type="dcterms:W3CDTF">2019-11-25T17:45:00Z</dcterms:created>
  <dcterms:modified xsi:type="dcterms:W3CDTF">2019-11-25T17:45:00Z</dcterms:modified>
</cp:coreProperties>
</file>